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color w:val="auto"/>
          <w:sz w:val="28"/>
          <w:szCs w:val="28"/>
          <w:lang w:val="en-US" w:eastAsia="zh-CN"/>
        </w:rPr>
      </w:pPr>
    </w:p>
    <w:p>
      <w:pPr>
        <w:jc w:val="center"/>
        <w:rPr>
          <w:rFonts w:hint="eastAsia" w:ascii="仿宋_GB2312" w:hAnsi="仿宋_GB2312" w:eastAsia="仿宋_GB2312" w:cs="仿宋_GB2312"/>
          <w:b w:val="0"/>
          <w:bCs w:val="0"/>
          <w:color w:val="auto"/>
          <w:sz w:val="28"/>
          <w:szCs w:val="28"/>
          <w:lang w:val="en-US" w:eastAsia="zh-CN"/>
        </w:rPr>
      </w:pPr>
      <w:bookmarkStart w:id="43" w:name="_GoBack"/>
      <w:bookmarkEnd w:id="43"/>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（2021年第1期  总第1期）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color w:val="auto"/>
          <w:sz w:val="32"/>
          <w:szCs w:val="32"/>
          <w:u w:val="single" w:color="auto"/>
          <w:lang w:val="en-US" w:eastAsia="zh-CN"/>
        </w:rPr>
      </w:pPr>
      <w:r>
        <w:rPr>
          <w:rFonts w:hint="eastAsia" w:ascii="仿宋_GB2312" w:hAnsi="仿宋_GB2312" w:eastAsia="仿宋_GB2312" w:cs="仿宋_GB2312"/>
          <w:b/>
          <w:bCs/>
          <w:color w:val="auto"/>
          <w:sz w:val="28"/>
          <w:szCs w:val="28"/>
          <w:u w:val="single" w:color="auto"/>
          <w:lang w:val="en-US" w:eastAsia="zh-CN"/>
        </w:rPr>
        <w:t>河南上市公司协会秘书处　　　　　　　　　　　2021年7月31日</w:t>
      </w:r>
    </w:p>
    <w:sdt>
      <w:sdtPr>
        <w:rPr>
          <w:rFonts w:ascii="宋体" w:hAnsi="宋体" w:eastAsia="宋体" w:cstheme="minorBidi"/>
          <w:color w:val="auto"/>
          <w:kern w:val="2"/>
          <w:sz w:val="24"/>
          <w:szCs w:val="24"/>
          <w:lang w:val="en-US" w:eastAsia="zh-CN" w:bidi="ar-SA"/>
        </w:rPr>
        <w:id w:val="147455714"/>
        <w15:color w:val="DBDBDB"/>
        <w:docPartObj>
          <w:docPartGallery w:val="Table of Contents"/>
          <w:docPartUnique/>
        </w:docPartObj>
      </w:sdtPr>
      <w:sdtEndPr>
        <w:rPr>
          <w:rFonts w:hint="eastAsia" w:ascii="仿宋_GB2312" w:hAnsi="仿宋_GB2312" w:eastAsia="仿宋_GB2312" w:cs="仿宋_GB2312"/>
          <w:bCs/>
          <w:color w:val="auto"/>
          <w:kern w:val="2"/>
          <w:sz w:val="21"/>
          <w:szCs w:val="28"/>
          <w:lang w:val="en-US" w:eastAsia="zh-CN" w:bidi="ar-SA"/>
        </w:rPr>
      </w:sdtEndPr>
      <w:sdtContent>
        <w:p>
          <w:pPr>
            <w:tabs>
              <w:tab w:val="right" w:leader="dot" w:pos="8306"/>
            </w:tabs>
            <w:spacing w:before="0" w:beforeLines="0" w:after="0" w:afterLines="0" w:line="240" w:lineRule="auto"/>
            <w:ind w:left="0" w:leftChars="0" w:right="0" w:rightChars="0" w:firstLine="0" w:firstLineChars="0"/>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fldChar w:fldCharType="begin"/>
          </w:r>
          <w:r>
            <w:rPr>
              <w:rFonts w:hint="eastAsia" w:ascii="仿宋_GB2312" w:hAnsi="仿宋_GB2312" w:eastAsia="仿宋_GB2312" w:cs="仿宋_GB2312"/>
              <w:b/>
              <w:bCs/>
              <w:color w:val="auto"/>
              <w:sz w:val="24"/>
              <w:szCs w:val="24"/>
              <w:lang w:val="en-US" w:eastAsia="zh-CN"/>
            </w:rPr>
            <w:instrText xml:space="preserve">TOC \o "1-3" \h \u </w:instrText>
          </w:r>
          <w:r>
            <w:rPr>
              <w:rFonts w:hint="eastAsia" w:ascii="仿宋_GB2312" w:hAnsi="仿宋_GB2312" w:eastAsia="仿宋_GB2312" w:cs="仿宋_GB2312"/>
              <w:b/>
              <w:bCs/>
              <w:color w:val="auto"/>
              <w:sz w:val="24"/>
              <w:szCs w:val="24"/>
              <w:lang w:val="en-US" w:eastAsia="zh-CN"/>
            </w:rPr>
            <w:fldChar w:fldCharType="separate"/>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_Toc16270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刊首语</w:t>
          </w:r>
          <w:r>
            <w:rPr>
              <w:sz w:val="24"/>
              <w:szCs w:val="24"/>
            </w:rPr>
            <w:tab/>
          </w:r>
          <w:r>
            <w:rPr>
              <w:sz w:val="24"/>
              <w:szCs w:val="24"/>
            </w:rPr>
            <w:fldChar w:fldCharType="begin"/>
          </w:r>
          <w:r>
            <w:rPr>
              <w:sz w:val="24"/>
              <w:szCs w:val="24"/>
            </w:rPr>
            <w:instrText xml:space="preserve"> PAGEREF _Toc16270 </w:instrText>
          </w:r>
          <w:r>
            <w:rPr>
              <w:sz w:val="24"/>
              <w:szCs w:val="24"/>
            </w:rPr>
            <w:fldChar w:fldCharType="separate"/>
          </w:r>
          <w:r>
            <w:rPr>
              <w:sz w:val="24"/>
              <w:szCs w:val="24"/>
            </w:rPr>
            <w:t>3</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_Toc184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监管之声</w:t>
          </w:r>
          <w:r>
            <w:rPr>
              <w:sz w:val="24"/>
              <w:szCs w:val="24"/>
            </w:rPr>
            <w:tab/>
          </w:r>
          <w:r>
            <w:rPr>
              <w:sz w:val="24"/>
              <w:szCs w:val="24"/>
            </w:rPr>
            <w:fldChar w:fldCharType="begin"/>
          </w:r>
          <w:r>
            <w:rPr>
              <w:sz w:val="24"/>
              <w:szCs w:val="24"/>
            </w:rPr>
            <w:instrText xml:space="preserve"> PAGEREF _Toc184 </w:instrText>
          </w:r>
          <w:r>
            <w:rPr>
              <w:sz w:val="24"/>
              <w:szCs w:val="24"/>
            </w:rPr>
            <w:fldChar w:fldCharType="separate"/>
          </w:r>
          <w:r>
            <w:rPr>
              <w:sz w:val="24"/>
              <w:szCs w:val="24"/>
            </w:rPr>
            <w:t>4</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_Toc2095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证监会主席易会满就《关于依法从严打击证券违法活动的意见》发布接受新华社记者专访（7月6日发布）</w:t>
          </w:r>
          <w:r>
            <w:rPr>
              <w:sz w:val="24"/>
              <w:szCs w:val="24"/>
            </w:rPr>
            <w:tab/>
          </w:r>
          <w:r>
            <w:rPr>
              <w:sz w:val="24"/>
              <w:szCs w:val="24"/>
            </w:rPr>
            <w:fldChar w:fldCharType="begin"/>
          </w:r>
          <w:r>
            <w:rPr>
              <w:sz w:val="24"/>
              <w:szCs w:val="24"/>
            </w:rPr>
            <w:instrText xml:space="preserve"> PAGEREF _Toc2095 </w:instrText>
          </w:r>
          <w:r>
            <w:rPr>
              <w:sz w:val="24"/>
              <w:szCs w:val="24"/>
            </w:rPr>
            <w:fldChar w:fldCharType="separate"/>
          </w:r>
          <w:r>
            <w:rPr>
              <w:sz w:val="24"/>
              <w:szCs w:val="24"/>
            </w:rPr>
            <w:t>4</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_Toc5461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证监会严厉打击操纵市场、内幕交易等证券违法活动（7月9日发布）</w:t>
          </w:r>
          <w:r>
            <w:rPr>
              <w:sz w:val="24"/>
              <w:szCs w:val="24"/>
            </w:rPr>
            <w:tab/>
          </w:r>
          <w:r>
            <w:rPr>
              <w:sz w:val="24"/>
              <w:szCs w:val="24"/>
            </w:rPr>
            <w:fldChar w:fldCharType="begin"/>
          </w:r>
          <w:r>
            <w:rPr>
              <w:sz w:val="24"/>
              <w:szCs w:val="24"/>
            </w:rPr>
            <w:instrText xml:space="preserve"> PAGEREF _Toc5461 </w:instrText>
          </w:r>
          <w:r>
            <w:rPr>
              <w:sz w:val="24"/>
              <w:szCs w:val="24"/>
            </w:rPr>
            <w:fldChar w:fldCharType="separate"/>
          </w:r>
          <w:r>
            <w:rPr>
              <w:sz w:val="24"/>
              <w:szCs w:val="24"/>
            </w:rPr>
            <w:t>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_Toc13806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证监会集中部署专项执法行动依法严厉打击证券违法活动（7月16日发布）</w:t>
          </w:r>
          <w:r>
            <w:rPr>
              <w:sz w:val="24"/>
              <w:szCs w:val="24"/>
            </w:rPr>
            <w:tab/>
          </w:r>
          <w:r>
            <w:rPr>
              <w:sz w:val="24"/>
              <w:szCs w:val="24"/>
            </w:rPr>
            <w:fldChar w:fldCharType="begin"/>
          </w:r>
          <w:r>
            <w:rPr>
              <w:sz w:val="24"/>
              <w:szCs w:val="24"/>
            </w:rPr>
            <w:instrText xml:space="preserve"> PAGEREF _Toc13806 </w:instrText>
          </w:r>
          <w:r>
            <w:rPr>
              <w:sz w:val="24"/>
              <w:szCs w:val="24"/>
            </w:rPr>
            <w:fldChar w:fldCharType="separate"/>
          </w:r>
          <w:r>
            <w:rPr>
              <w:sz w:val="24"/>
              <w:szCs w:val="24"/>
            </w:rPr>
            <w:t>11</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_Toc9208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证监会通报首批适用新《证券法》财务造假案件处罚情况（7月23日发布）</w:t>
          </w:r>
          <w:r>
            <w:rPr>
              <w:sz w:val="24"/>
              <w:szCs w:val="24"/>
            </w:rPr>
            <w:tab/>
          </w:r>
          <w:r>
            <w:rPr>
              <w:sz w:val="24"/>
              <w:szCs w:val="24"/>
            </w:rPr>
            <w:fldChar w:fldCharType="begin"/>
          </w:r>
          <w:r>
            <w:rPr>
              <w:sz w:val="24"/>
              <w:szCs w:val="24"/>
            </w:rPr>
            <w:instrText xml:space="preserve"> PAGEREF _Toc9208 </w:instrText>
          </w:r>
          <w:r>
            <w:rPr>
              <w:sz w:val="24"/>
              <w:szCs w:val="24"/>
            </w:rPr>
            <w:fldChar w:fldCharType="separate"/>
          </w:r>
          <w:r>
            <w:rPr>
              <w:sz w:val="24"/>
              <w:szCs w:val="24"/>
            </w:rPr>
            <w:t>12</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_Toc12939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证监会通报“中源家居”“利通电子”等股票价格操纵案调查进展（7月23日发布）</w:t>
          </w:r>
          <w:r>
            <w:rPr>
              <w:sz w:val="24"/>
              <w:szCs w:val="24"/>
            </w:rPr>
            <w:tab/>
          </w:r>
          <w:r>
            <w:rPr>
              <w:sz w:val="24"/>
              <w:szCs w:val="24"/>
            </w:rPr>
            <w:fldChar w:fldCharType="begin"/>
          </w:r>
          <w:r>
            <w:rPr>
              <w:sz w:val="24"/>
              <w:szCs w:val="24"/>
            </w:rPr>
            <w:instrText xml:space="preserve"> PAGEREF _Toc12939 </w:instrText>
          </w:r>
          <w:r>
            <w:rPr>
              <w:sz w:val="24"/>
              <w:szCs w:val="24"/>
            </w:rPr>
            <w:fldChar w:fldCharType="separate"/>
          </w:r>
          <w:r>
            <w:rPr>
              <w:sz w:val="24"/>
              <w:szCs w:val="24"/>
            </w:rPr>
            <w:t>13</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_Toc25643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中国证监会公布2021年证券公司分类结果（7月23日发布）</w:t>
          </w:r>
          <w:r>
            <w:rPr>
              <w:sz w:val="24"/>
              <w:szCs w:val="24"/>
            </w:rPr>
            <w:tab/>
          </w:r>
          <w:r>
            <w:rPr>
              <w:sz w:val="24"/>
              <w:szCs w:val="24"/>
            </w:rPr>
            <w:fldChar w:fldCharType="begin"/>
          </w:r>
          <w:r>
            <w:rPr>
              <w:sz w:val="24"/>
              <w:szCs w:val="24"/>
            </w:rPr>
            <w:instrText xml:space="preserve"> PAGEREF _Toc25643 </w:instrText>
          </w:r>
          <w:r>
            <w:rPr>
              <w:sz w:val="24"/>
              <w:szCs w:val="24"/>
            </w:rPr>
            <w:fldChar w:fldCharType="separate"/>
          </w:r>
          <w:r>
            <w:rPr>
              <w:sz w:val="24"/>
              <w:szCs w:val="24"/>
            </w:rPr>
            <w:t>14</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_Toc16630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李超副主席在中国REITs论坛2021年会上的致辞（7月24日发布）</w:t>
          </w:r>
          <w:r>
            <w:rPr>
              <w:sz w:val="24"/>
              <w:szCs w:val="24"/>
            </w:rPr>
            <w:tab/>
          </w:r>
          <w:r>
            <w:rPr>
              <w:sz w:val="24"/>
              <w:szCs w:val="24"/>
            </w:rPr>
            <w:fldChar w:fldCharType="begin"/>
          </w:r>
          <w:r>
            <w:rPr>
              <w:sz w:val="24"/>
              <w:szCs w:val="24"/>
            </w:rPr>
            <w:instrText xml:space="preserve"> PAGEREF _Toc16630 </w:instrText>
          </w:r>
          <w:r>
            <w:rPr>
              <w:sz w:val="24"/>
              <w:szCs w:val="24"/>
            </w:rPr>
            <w:fldChar w:fldCharType="separate"/>
          </w:r>
          <w:r>
            <w:rPr>
              <w:sz w:val="24"/>
              <w:szCs w:val="24"/>
            </w:rPr>
            <w:t>15</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_Toc30848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上交所通报2021年上半年纪律处分工作情况（7月23日发布）</w:t>
          </w:r>
          <w:r>
            <w:rPr>
              <w:sz w:val="24"/>
              <w:szCs w:val="24"/>
            </w:rPr>
            <w:tab/>
          </w:r>
          <w:r>
            <w:rPr>
              <w:sz w:val="24"/>
              <w:szCs w:val="24"/>
            </w:rPr>
            <w:fldChar w:fldCharType="begin"/>
          </w:r>
          <w:r>
            <w:rPr>
              <w:sz w:val="24"/>
              <w:szCs w:val="24"/>
            </w:rPr>
            <w:instrText xml:space="preserve"> PAGEREF _Toc30848 </w:instrText>
          </w:r>
          <w:r>
            <w:rPr>
              <w:sz w:val="24"/>
              <w:szCs w:val="24"/>
            </w:rPr>
            <w:fldChar w:fldCharType="separate"/>
          </w:r>
          <w:r>
            <w:rPr>
              <w:sz w:val="24"/>
              <w:szCs w:val="24"/>
            </w:rPr>
            <w:t>16</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_Toc16208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国家外汇管理局召开2021年下半年外汇管理工作电视会议（7月26日发布）</w:t>
          </w:r>
          <w:r>
            <w:rPr>
              <w:sz w:val="24"/>
              <w:szCs w:val="24"/>
            </w:rPr>
            <w:tab/>
          </w:r>
          <w:r>
            <w:rPr>
              <w:sz w:val="24"/>
              <w:szCs w:val="24"/>
            </w:rPr>
            <w:fldChar w:fldCharType="begin"/>
          </w:r>
          <w:r>
            <w:rPr>
              <w:sz w:val="24"/>
              <w:szCs w:val="24"/>
            </w:rPr>
            <w:instrText xml:space="preserve"> PAGEREF _Toc16208 </w:instrText>
          </w:r>
          <w:r>
            <w:rPr>
              <w:sz w:val="24"/>
              <w:szCs w:val="24"/>
            </w:rPr>
            <w:fldChar w:fldCharType="separate"/>
          </w:r>
          <w:r>
            <w:rPr>
              <w:sz w:val="24"/>
              <w:szCs w:val="24"/>
            </w:rPr>
            <w:t>17</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_Toc23820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中国人民银行召开2021年下半年工作会议（7月31日发布）</w:t>
          </w:r>
          <w:r>
            <w:rPr>
              <w:sz w:val="24"/>
              <w:szCs w:val="24"/>
            </w:rPr>
            <w:tab/>
          </w:r>
          <w:r>
            <w:rPr>
              <w:sz w:val="24"/>
              <w:szCs w:val="24"/>
            </w:rPr>
            <w:fldChar w:fldCharType="begin"/>
          </w:r>
          <w:r>
            <w:rPr>
              <w:sz w:val="24"/>
              <w:szCs w:val="24"/>
            </w:rPr>
            <w:instrText xml:space="preserve"> PAGEREF _Toc23820 </w:instrText>
          </w:r>
          <w:r>
            <w:rPr>
              <w:sz w:val="24"/>
              <w:szCs w:val="24"/>
            </w:rPr>
            <w:fldChar w:fldCharType="separate"/>
          </w:r>
          <w:r>
            <w:rPr>
              <w:sz w:val="24"/>
              <w:szCs w:val="24"/>
            </w:rPr>
            <w:t>18</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_Toc15873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协会动态</w:t>
          </w:r>
          <w:r>
            <w:rPr>
              <w:sz w:val="24"/>
              <w:szCs w:val="24"/>
            </w:rPr>
            <w:tab/>
          </w:r>
          <w:r>
            <w:rPr>
              <w:sz w:val="24"/>
              <w:szCs w:val="24"/>
            </w:rPr>
            <w:fldChar w:fldCharType="begin"/>
          </w:r>
          <w:r>
            <w:rPr>
              <w:sz w:val="24"/>
              <w:szCs w:val="24"/>
            </w:rPr>
            <w:instrText xml:space="preserve"> PAGEREF _Toc15873 </w:instrText>
          </w:r>
          <w:r>
            <w:rPr>
              <w:sz w:val="24"/>
              <w:szCs w:val="24"/>
            </w:rPr>
            <w:fldChar w:fldCharType="separate"/>
          </w:r>
          <w:r>
            <w:rPr>
              <w:sz w:val="24"/>
              <w:szCs w:val="24"/>
            </w:rPr>
            <w:t>19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_Toc31379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2021年河南上市公司董事高管培训班成功举办</w:t>
          </w:r>
          <w:r>
            <w:rPr>
              <w:sz w:val="24"/>
              <w:szCs w:val="24"/>
            </w:rPr>
            <w:tab/>
          </w:r>
          <w:r>
            <w:rPr>
              <w:sz w:val="24"/>
              <w:szCs w:val="24"/>
            </w:rPr>
            <w:fldChar w:fldCharType="begin"/>
          </w:r>
          <w:r>
            <w:rPr>
              <w:sz w:val="24"/>
              <w:szCs w:val="24"/>
            </w:rPr>
            <w:instrText xml:space="preserve"> PAGEREF _Toc31379 </w:instrText>
          </w:r>
          <w:r>
            <w:rPr>
              <w:sz w:val="24"/>
              <w:szCs w:val="24"/>
            </w:rPr>
            <w:fldChar w:fldCharType="separate"/>
          </w:r>
          <w:r>
            <w:rPr>
              <w:sz w:val="24"/>
              <w:szCs w:val="24"/>
            </w:rPr>
            <w:t>19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_Toc15550 </w:instrText>
          </w:r>
          <w:r>
            <w:rPr>
              <w:rFonts w:hint="eastAsia" w:ascii="仿宋_GB2312" w:hAnsi="仿宋_GB2312" w:eastAsia="仿宋_GB2312" w:cs="仿宋_GB2312"/>
              <w:bCs/>
              <w:sz w:val="24"/>
              <w:szCs w:val="24"/>
              <w:lang w:val="en-US" w:eastAsia="zh-CN"/>
            </w:rPr>
            <w:fldChar w:fldCharType="separate"/>
          </w:r>
          <w:r>
            <w:rPr>
              <w:rFonts w:hint="eastAsia"/>
              <w:sz w:val="24"/>
              <w:szCs w:val="24"/>
              <w:lang w:val="en-US" w:eastAsia="zh-CN"/>
            </w:rPr>
            <w:t>◆ 辖区上市公司资本运作概要</w:t>
          </w:r>
          <w:r>
            <w:rPr>
              <w:sz w:val="24"/>
              <w:szCs w:val="24"/>
            </w:rPr>
            <w:tab/>
          </w:r>
          <w:r>
            <w:rPr>
              <w:sz w:val="24"/>
              <w:szCs w:val="24"/>
            </w:rPr>
            <w:fldChar w:fldCharType="begin"/>
          </w:r>
          <w:r>
            <w:rPr>
              <w:sz w:val="24"/>
              <w:szCs w:val="24"/>
            </w:rPr>
            <w:instrText xml:space="preserve"> PAGEREF _Toc15550 </w:instrText>
          </w:r>
          <w:r>
            <w:rPr>
              <w:sz w:val="24"/>
              <w:szCs w:val="24"/>
            </w:rPr>
            <w:fldChar w:fldCharType="separate"/>
          </w:r>
          <w:r>
            <w:rPr>
              <w:sz w:val="24"/>
              <w:szCs w:val="24"/>
            </w:rPr>
            <w:t>21</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_Toc3083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中航光电：</w:t>
          </w:r>
          <w:r>
            <w:rPr>
              <w:rFonts w:hint="default"/>
              <w:sz w:val="24"/>
              <w:szCs w:val="24"/>
              <w:lang w:val="en-US" w:eastAsia="zh-CN"/>
            </w:rPr>
            <w:t>非公开预案</w:t>
          </w:r>
          <w:r>
            <w:rPr>
              <w:rFonts w:hint="eastAsia"/>
              <w:sz w:val="24"/>
              <w:szCs w:val="24"/>
              <w:lang w:val="en-US" w:eastAsia="zh-CN"/>
            </w:rPr>
            <w:t>（</w:t>
          </w:r>
          <w:r>
            <w:rPr>
              <w:rFonts w:hint="default"/>
              <w:sz w:val="24"/>
              <w:szCs w:val="24"/>
              <w:lang w:val="en-US" w:eastAsia="zh-CN"/>
            </w:rPr>
            <w:t>2021-07-10 董事会-公告预案</w:t>
          </w:r>
          <w:r>
            <w:rPr>
              <w:rFonts w:hint="eastAsia"/>
              <w:sz w:val="24"/>
              <w:szCs w:val="24"/>
              <w:lang w:val="en-US" w:eastAsia="zh-CN"/>
            </w:rPr>
            <w:t>）</w:t>
          </w:r>
          <w:r>
            <w:rPr>
              <w:sz w:val="24"/>
              <w:szCs w:val="24"/>
            </w:rPr>
            <w:tab/>
          </w:r>
          <w:r>
            <w:rPr>
              <w:sz w:val="24"/>
              <w:szCs w:val="24"/>
            </w:rPr>
            <w:fldChar w:fldCharType="begin"/>
          </w:r>
          <w:r>
            <w:rPr>
              <w:sz w:val="24"/>
              <w:szCs w:val="24"/>
            </w:rPr>
            <w:instrText xml:space="preserve"> PAGEREF _Toc3083 </w:instrText>
          </w:r>
          <w:r>
            <w:rPr>
              <w:sz w:val="24"/>
              <w:szCs w:val="24"/>
            </w:rPr>
            <w:fldChar w:fldCharType="separate"/>
          </w:r>
          <w:r>
            <w:rPr>
              <w:sz w:val="24"/>
              <w:szCs w:val="24"/>
            </w:rPr>
            <w:t>21</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_Toc9320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default"/>
              <w:sz w:val="24"/>
              <w:szCs w:val="24"/>
              <w:lang w:val="en-US" w:eastAsia="zh-CN"/>
            </w:rPr>
            <w:t>安彩高科</w:t>
          </w:r>
          <w:r>
            <w:rPr>
              <w:rFonts w:hint="eastAsia"/>
              <w:sz w:val="24"/>
              <w:szCs w:val="24"/>
              <w:lang w:val="en-US" w:eastAsia="zh-CN"/>
            </w:rPr>
            <w:t>：</w:t>
          </w:r>
          <w:r>
            <w:rPr>
              <w:rFonts w:hint="default"/>
              <w:sz w:val="24"/>
              <w:szCs w:val="24"/>
              <w:lang w:val="en-US" w:eastAsia="zh-CN"/>
            </w:rPr>
            <w:t>非公开预案</w:t>
          </w:r>
          <w:r>
            <w:rPr>
              <w:rFonts w:hint="eastAsia"/>
              <w:sz w:val="24"/>
              <w:szCs w:val="24"/>
              <w:lang w:val="en-US" w:eastAsia="zh-CN"/>
            </w:rPr>
            <w:t>（</w:t>
          </w:r>
          <w:r>
            <w:rPr>
              <w:rFonts w:hint="default"/>
              <w:sz w:val="24"/>
              <w:szCs w:val="24"/>
              <w:lang w:val="en-US" w:eastAsia="zh-CN"/>
            </w:rPr>
            <w:t>2021-07-14 董事会-公告预案</w:t>
          </w:r>
          <w:r>
            <w:rPr>
              <w:rFonts w:hint="eastAsia"/>
              <w:sz w:val="24"/>
              <w:szCs w:val="24"/>
              <w:lang w:val="en-US" w:eastAsia="zh-CN"/>
            </w:rPr>
            <w:t>）</w:t>
          </w:r>
          <w:r>
            <w:rPr>
              <w:sz w:val="24"/>
              <w:szCs w:val="24"/>
            </w:rPr>
            <w:tab/>
          </w:r>
          <w:r>
            <w:rPr>
              <w:sz w:val="24"/>
              <w:szCs w:val="24"/>
            </w:rPr>
            <w:fldChar w:fldCharType="begin"/>
          </w:r>
          <w:r>
            <w:rPr>
              <w:sz w:val="24"/>
              <w:szCs w:val="24"/>
            </w:rPr>
            <w:instrText xml:space="preserve"> PAGEREF _Toc9320 </w:instrText>
          </w:r>
          <w:r>
            <w:rPr>
              <w:sz w:val="24"/>
              <w:szCs w:val="24"/>
            </w:rPr>
            <w:fldChar w:fldCharType="separate"/>
          </w:r>
          <w:r>
            <w:rPr>
              <w:sz w:val="24"/>
              <w:szCs w:val="24"/>
            </w:rPr>
            <w:t>22</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_Toc12657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default"/>
              <w:sz w:val="24"/>
              <w:szCs w:val="24"/>
              <w:lang w:val="en-US" w:eastAsia="zh-CN"/>
            </w:rPr>
            <w:t>洛阳钼业拟以80,000万元回购A股股份</w:t>
          </w:r>
          <w:r>
            <w:rPr>
              <w:rFonts w:hint="eastAsia"/>
              <w:sz w:val="24"/>
              <w:szCs w:val="24"/>
              <w:lang w:val="en-US" w:eastAsia="zh-CN"/>
            </w:rPr>
            <w:t>（</w:t>
          </w:r>
          <w:r>
            <w:rPr>
              <w:rFonts w:hint="default"/>
              <w:sz w:val="24"/>
              <w:szCs w:val="24"/>
              <w:lang w:val="en-US" w:eastAsia="zh-CN"/>
            </w:rPr>
            <w:t>2021-07-14</w:t>
          </w:r>
          <w:r>
            <w:rPr>
              <w:rFonts w:hint="eastAsia"/>
              <w:sz w:val="24"/>
              <w:szCs w:val="24"/>
              <w:lang w:val="en-US" w:eastAsia="zh-CN"/>
            </w:rPr>
            <w:t>公告）</w:t>
          </w:r>
          <w:r>
            <w:rPr>
              <w:sz w:val="24"/>
              <w:szCs w:val="24"/>
            </w:rPr>
            <w:tab/>
          </w:r>
          <w:r>
            <w:rPr>
              <w:sz w:val="24"/>
              <w:szCs w:val="24"/>
            </w:rPr>
            <w:fldChar w:fldCharType="begin"/>
          </w:r>
          <w:r>
            <w:rPr>
              <w:sz w:val="24"/>
              <w:szCs w:val="24"/>
            </w:rPr>
            <w:instrText xml:space="preserve"> PAGEREF _Toc12657 </w:instrText>
          </w:r>
          <w:r>
            <w:rPr>
              <w:sz w:val="24"/>
              <w:szCs w:val="24"/>
            </w:rPr>
            <w:fldChar w:fldCharType="separate"/>
          </w:r>
          <w:r>
            <w:rPr>
              <w:sz w:val="24"/>
              <w:szCs w:val="24"/>
            </w:rPr>
            <w:t>24</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_Toc3369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default"/>
              <w:sz w:val="24"/>
              <w:szCs w:val="24"/>
              <w:lang w:val="en-US" w:eastAsia="zh-CN"/>
            </w:rPr>
            <w:t>多氟多拟以15,900万元回购A股股份</w:t>
          </w:r>
          <w:r>
            <w:rPr>
              <w:rFonts w:hint="eastAsia"/>
              <w:sz w:val="24"/>
              <w:szCs w:val="24"/>
              <w:lang w:val="en-US" w:eastAsia="zh-CN"/>
            </w:rPr>
            <w:t>（</w:t>
          </w:r>
          <w:r>
            <w:rPr>
              <w:rFonts w:hint="default"/>
              <w:sz w:val="24"/>
              <w:szCs w:val="24"/>
              <w:lang w:val="en-US" w:eastAsia="zh-CN"/>
            </w:rPr>
            <w:t>2021-07-17</w:t>
          </w:r>
          <w:r>
            <w:rPr>
              <w:rFonts w:hint="eastAsia"/>
              <w:sz w:val="24"/>
              <w:szCs w:val="24"/>
              <w:lang w:val="en-US" w:eastAsia="zh-CN"/>
            </w:rPr>
            <w:t>公告）</w:t>
          </w:r>
          <w:r>
            <w:rPr>
              <w:sz w:val="24"/>
              <w:szCs w:val="24"/>
            </w:rPr>
            <w:tab/>
          </w:r>
          <w:r>
            <w:rPr>
              <w:sz w:val="24"/>
              <w:szCs w:val="24"/>
            </w:rPr>
            <w:fldChar w:fldCharType="begin"/>
          </w:r>
          <w:r>
            <w:rPr>
              <w:sz w:val="24"/>
              <w:szCs w:val="24"/>
            </w:rPr>
            <w:instrText xml:space="preserve"> PAGEREF _Toc3369 </w:instrText>
          </w:r>
          <w:r>
            <w:rPr>
              <w:sz w:val="24"/>
              <w:szCs w:val="24"/>
            </w:rPr>
            <w:fldChar w:fldCharType="separate"/>
          </w:r>
          <w:r>
            <w:rPr>
              <w:sz w:val="24"/>
              <w:szCs w:val="24"/>
            </w:rPr>
            <w:t>25</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_Toc8700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w:t>
          </w:r>
          <w:r>
            <w:rPr>
              <w:rFonts w:hint="eastAsia"/>
              <w:sz w:val="24"/>
              <w:szCs w:val="24"/>
              <w:lang w:val="en-US" w:eastAsia="zh-CN"/>
            </w:rPr>
            <w:t xml:space="preserve"> 濮阳惠成2021年限制性股票激励计划（</w:t>
          </w:r>
          <w:r>
            <w:rPr>
              <w:rFonts w:hint="default"/>
              <w:sz w:val="24"/>
              <w:szCs w:val="24"/>
              <w:lang w:val="en-US" w:eastAsia="zh-CN"/>
            </w:rPr>
            <w:t>2021-07-</w:t>
          </w:r>
          <w:r>
            <w:rPr>
              <w:rFonts w:hint="eastAsia"/>
              <w:sz w:val="24"/>
              <w:szCs w:val="24"/>
              <w:lang w:val="en-US" w:eastAsia="zh-CN"/>
            </w:rPr>
            <w:t>29公告）</w:t>
          </w:r>
          <w:r>
            <w:rPr>
              <w:sz w:val="24"/>
              <w:szCs w:val="24"/>
            </w:rPr>
            <w:tab/>
          </w:r>
          <w:r>
            <w:rPr>
              <w:sz w:val="24"/>
              <w:szCs w:val="24"/>
            </w:rPr>
            <w:fldChar w:fldCharType="begin"/>
          </w:r>
          <w:r>
            <w:rPr>
              <w:sz w:val="24"/>
              <w:szCs w:val="24"/>
            </w:rPr>
            <w:instrText xml:space="preserve"> PAGEREF _Toc8700 </w:instrText>
          </w:r>
          <w:r>
            <w:rPr>
              <w:sz w:val="24"/>
              <w:szCs w:val="24"/>
            </w:rPr>
            <w:fldChar w:fldCharType="separate"/>
          </w:r>
          <w:r>
            <w:rPr>
              <w:sz w:val="24"/>
              <w:szCs w:val="24"/>
            </w:rPr>
            <w:t>27</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_Toc6718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val="0"/>
              <w:sz w:val="24"/>
              <w:szCs w:val="24"/>
              <w:lang w:val="en-US" w:eastAsia="zh-CN"/>
            </w:rPr>
            <w:t xml:space="preserve">◆ </w:t>
          </w:r>
          <w:r>
            <w:rPr>
              <w:rFonts w:hint="eastAsia"/>
              <w:sz w:val="24"/>
              <w:szCs w:val="24"/>
              <w:lang w:val="en-US" w:eastAsia="zh-CN"/>
            </w:rPr>
            <w:t>辖区IPO（含精选层）在审项目基本情况</w:t>
          </w:r>
          <w:r>
            <w:rPr>
              <w:sz w:val="24"/>
              <w:szCs w:val="24"/>
            </w:rPr>
            <w:tab/>
          </w:r>
          <w:r>
            <w:rPr>
              <w:sz w:val="24"/>
              <w:szCs w:val="24"/>
            </w:rPr>
            <w:fldChar w:fldCharType="begin"/>
          </w:r>
          <w:r>
            <w:rPr>
              <w:sz w:val="24"/>
              <w:szCs w:val="24"/>
            </w:rPr>
            <w:instrText xml:space="preserve"> PAGEREF _Toc6718 </w:instrText>
          </w:r>
          <w:r>
            <w:rPr>
              <w:sz w:val="24"/>
              <w:szCs w:val="24"/>
            </w:rPr>
            <w:fldChar w:fldCharType="separate"/>
          </w:r>
          <w:r>
            <w:rPr>
              <w:sz w:val="24"/>
              <w:szCs w:val="24"/>
            </w:rPr>
            <w:t>29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_Toc16693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违规案例</w:t>
          </w:r>
          <w:r>
            <w:rPr>
              <w:sz w:val="24"/>
              <w:szCs w:val="24"/>
            </w:rPr>
            <w:tab/>
          </w:r>
          <w:r>
            <w:rPr>
              <w:sz w:val="24"/>
              <w:szCs w:val="24"/>
            </w:rPr>
            <w:fldChar w:fldCharType="begin"/>
          </w:r>
          <w:r>
            <w:rPr>
              <w:sz w:val="24"/>
              <w:szCs w:val="24"/>
            </w:rPr>
            <w:instrText xml:space="preserve"> PAGEREF _Toc16693 </w:instrText>
          </w:r>
          <w:r>
            <w:rPr>
              <w:sz w:val="24"/>
              <w:szCs w:val="24"/>
            </w:rPr>
            <w:fldChar w:fldCharType="separate"/>
          </w:r>
          <w:r>
            <w:rPr>
              <w:sz w:val="24"/>
              <w:szCs w:val="24"/>
            </w:rPr>
            <w:t>30</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_Toc16717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default"/>
              <w:sz w:val="24"/>
              <w:szCs w:val="24"/>
              <w:lang w:val="en-US" w:eastAsia="zh-CN"/>
            </w:rPr>
            <w:t>2021年7月1日至7月</w:t>
          </w:r>
          <w:r>
            <w:rPr>
              <w:rFonts w:hint="eastAsia"/>
              <w:sz w:val="24"/>
              <w:szCs w:val="24"/>
              <w:lang w:val="en-US" w:eastAsia="zh-CN"/>
            </w:rPr>
            <w:t>31</w:t>
          </w:r>
          <w:r>
            <w:rPr>
              <w:rFonts w:hint="default"/>
              <w:sz w:val="24"/>
              <w:szCs w:val="24"/>
              <w:lang w:val="en-US" w:eastAsia="zh-CN"/>
            </w:rPr>
            <w:t>日，中国证监会及其派出机构对市场主体采取行政监管措施、处以行政处罚、市场禁入情况一览表</w:t>
          </w:r>
          <w:r>
            <w:rPr>
              <w:rFonts w:hint="eastAsia"/>
              <w:sz w:val="24"/>
              <w:szCs w:val="24"/>
              <w:lang w:val="en-US" w:eastAsia="zh-CN"/>
            </w:rPr>
            <w:t>(共计90个）</w:t>
          </w:r>
          <w:r>
            <w:rPr>
              <w:rFonts w:hint="default"/>
              <w:sz w:val="24"/>
              <w:szCs w:val="24"/>
              <w:lang w:val="en-US" w:eastAsia="zh-CN"/>
            </w:rPr>
            <w:t>：</w:t>
          </w:r>
          <w:r>
            <w:rPr>
              <w:sz w:val="24"/>
              <w:szCs w:val="24"/>
            </w:rPr>
            <w:tab/>
          </w:r>
          <w:r>
            <w:rPr>
              <w:sz w:val="24"/>
              <w:szCs w:val="24"/>
            </w:rPr>
            <w:fldChar w:fldCharType="begin"/>
          </w:r>
          <w:r>
            <w:rPr>
              <w:sz w:val="24"/>
              <w:szCs w:val="24"/>
            </w:rPr>
            <w:instrText xml:space="preserve"> PAGEREF _Toc16717 </w:instrText>
          </w:r>
          <w:r>
            <w:rPr>
              <w:sz w:val="24"/>
              <w:szCs w:val="24"/>
            </w:rPr>
            <w:fldChar w:fldCharType="separate"/>
          </w:r>
          <w:r>
            <w:rPr>
              <w:sz w:val="24"/>
              <w:szCs w:val="24"/>
            </w:rPr>
            <w:t>30</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_Toc13692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default"/>
              <w:sz w:val="24"/>
              <w:szCs w:val="24"/>
              <w:lang w:val="en-US" w:eastAsia="zh-CN"/>
            </w:rPr>
            <w:t>2021年7月1日至7月</w:t>
          </w:r>
          <w:r>
            <w:rPr>
              <w:rFonts w:hint="eastAsia"/>
              <w:sz w:val="24"/>
              <w:szCs w:val="24"/>
              <w:lang w:val="en-US" w:eastAsia="zh-CN"/>
            </w:rPr>
            <w:t>31</w:t>
          </w:r>
          <w:r>
            <w:rPr>
              <w:rFonts w:hint="default"/>
              <w:sz w:val="24"/>
              <w:szCs w:val="24"/>
              <w:lang w:val="en-US" w:eastAsia="zh-CN"/>
            </w:rPr>
            <w:t>日，上海证券交易所、深圳证券交易所对市场主体采取自律监管措施、予以纪律处分情况一览表</w:t>
          </w:r>
          <w:r>
            <w:rPr>
              <w:rFonts w:hint="eastAsia"/>
              <w:sz w:val="24"/>
              <w:szCs w:val="24"/>
              <w:lang w:val="en-US" w:eastAsia="zh-CN"/>
            </w:rPr>
            <w:t>（共计79个）</w:t>
          </w:r>
          <w:r>
            <w:rPr>
              <w:rFonts w:hint="default"/>
              <w:sz w:val="24"/>
              <w:szCs w:val="24"/>
              <w:lang w:val="en-US" w:eastAsia="zh-CN"/>
            </w:rPr>
            <w:t>：</w:t>
          </w:r>
          <w:r>
            <w:rPr>
              <w:sz w:val="24"/>
              <w:szCs w:val="24"/>
            </w:rPr>
            <w:tab/>
          </w:r>
          <w:r>
            <w:rPr>
              <w:sz w:val="24"/>
              <w:szCs w:val="24"/>
            </w:rPr>
            <w:fldChar w:fldCharType="begin"/>
          </w:r>
          <w:r>
            <w:rPr>
              <w:sz w:val="24"/>
              <w:szCs w:val="24"/>
            </w:rPr>
            <w:instrText xml:space="preserve"> PAGEREF _Toc13692 </w:instrText>
          </w:r>
          <w:r>
            <w:rPr>
              <w:sz w:val="24"/>
              <w:szCs w:val="24"/>
            </w:rPr>
            <w:fldChar w:fldCharType="separate"/>
          </w:r>
          <w:r>
            <w:rPr>
              <w:sz w:val="24"/>
              <w:szCs w:val="24"/>
            </w:rPr>
            <w:t>47</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_Toc16701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法律规则</w:t>
          </w:r>
          <w:r>
            <w:rPr>
              <w:sz w:val="24"/>
              <w:szCs w:val="24"/>
            </w:rPr>
            <w:tab/>
          </w:r>
          <w:r>
            <w:rPr>
              <w:sz w:val="24"/>
              <w:szCs w:val="24"/>
            </w:rPr>
            <w:fldChar w:fldCharType="begin"/>
          </w:r>
          <w:r>
            <w:rPr>
              <w:sz w:val="24"/>
              <w:szCs w:val="24"/>
            </w:rPr>
            <w:instrText xml:space="preserve"> PAGEREF _Toc16701 </w:instrText>
          </w:r>
          <w:r>
            <w:rPr>
              <w:sz w:val="24"/>
              <w:szCs w:val="24"/>
            </w:rPr>
            <w:fldChar w:fldCharType="separate"/>
          </w:r>
          <w:r>
            <w:rPr>
              <w:sz w:val="24"/>
              <w:szCs w:val="24"/>
            </w:rPr>
            <w:t>59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_Toc21502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中共中央办公厅、国务院办公厅</w:t>
          </w:r>
          <w:r>
            <w:rPr>
              <w:sz w:val="24"/>
              <w:szCs w:val="24"/>
            </w:rPr>
            <w:tab/>
          </w:r>
          <w:r>
            <w:rPr>
              <w:sz w:val="24"/>
              <w:szCs w:val="24"/>
            </w:rPr>
            <w:fldChar w:fldCharType="begin"/>
          </w:r>
          <w:r>
            <w:rPr>
              <w:sz w:val="24"/>
              <w:szCs w:val="24"/>
            </w:rPr>
            <w:instrText xml:space="preserve"> PAGEREF _Toc21502 </w:instrText>
          </w:r>
          <w:r>
            <w:rPr>
              <w:sz w:val="24"/>
              <w:szCs w:val="24"/>
            </w:rPr>
            <w:fldChar w:fldCharType="separate"/>
          </w:r>
          <w:r>
            <w:rPr>
              <w:sz w:val="24"/>
              <w:szCs w:val="24"/>
            </w:rPr>
            <w:t>59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_Toc27874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《关于依法从严打击证券违法活动的意见》（7月6日发布）</w:t>
          </w:r>
          <w:r>
            <w:rPr>
              <w:sz w:val="24"/>
              <w:szCs w:val="24"/>
            </w:rPr>
            <w:tab/>
          </w:r>
          <w:r>
            <w:rPr>
              <w:sz w:val="24"/>
              <w:szCs w:val="24"/>
            </w:rPr>
            <w:fldChar w:fldCharType="begin"/>
          </w:r>
          <w:r>
            <w:rPr>
              <w:sz w:val="24"/>
              <w:szCs w:val="24"/>
            </w:rPr>
            <w:instrText xml:space="preserve"> PAGEREF _Toc27874 </w:instrText>
          </w:r>
          <w:r>
            <w:rPr>
              <w:sz w:val="24"/>
              <w:szCs w:val="24"/>
            </w:rPr>
            <w:fldChar w:fldCharType="separate"/>
          </w:r>
          <w:r>
            <w:rPr>
              <w:sz w:val="24"/>
              <w:szCs w:val="24"/>
            </w:rPr>
            <w:t>59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_Toc5426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中国证监会</w:t>
          </w:r>
          <w:r>
            <w:rPr>
              <w:sz w:val="24"/>
              <w:szCs w:val="24"/>
            </w:rPr>
            <w:tab/>
          </w:r>
          <w:r>
            <w:rPr>
              <w:sz w:val="24"/>
              <w:szCs w:val="24"/>
            </w:rPr>
            <w:fldChar w:fldCharType="begin"/>
          </w:r>
          <w:r>
            <w:rPr>
              <w:sz w:val="24"/>
              <w:szCs w:val="24"/>
            </w:rPr>
            <w:instrText xml:space="preserve"> PAGEREF _Toc5426 </w:instrText>
          </w:r>
          <w:r>
            <w:rPr>
              <w:sz w:val="24"/>
              <w:szCs w:val="24"/>
            </w:rPr>
            <w:fldChar w:fldCharType="separate"/>
          </w:r>
          <w:r>
            <w:rPr>
              <w:sz w:val="24"/>
              <w:szCs w:val="24"/>
            </w:rPr>
            <w:t>60</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_Toc20479 </w:instrText>
          </w:r>
          <w:r>
            <w:rPr>
              <w:rFonts w:hint="eastAsia" w:ascii="仿宋_GB2312" w:hAnsi="仿宋_GB2312" w:eastAsia="仿宋_GB2312" w:cs="仿宋_GB2312"/>
              <w:bCs/>
              <w:sz w:val="24"/>
              <w:szCs w:val="24"/>
              <w:lang w:val="en-US" w:eastAsia="zh-CN"/>
            </w:rPr>
            <w:fldChar w:fldCharType="separate"/>
          </w:r>
          <w:r>
            <w:rPr>
              <w:rFonts w:hint="eastAsia"/>
              <w:sz w:val="24"/>
              <w:szCs w:val="24"/>
              <w:lang w:val="en-US" w:eastAsia="zh-CN"/>
            </w:rPr>
            <w:t>• 《公开发行证券的公司信息披露内容与格式准则第3号——半年度报告的内容与格式（2021年修订）》（6月28日发布）</w:t>
          </w:r>
          <w:r>
            <w:rPr>
              <w:sz w:val="24"/>
              <w:szCs w:val="24"/>
            </w:rPr>
            <w:tab/>
          </w:r>
          <w:r>
            <w:rPr>
              <w:sz w:val="24"/>
              <w:szCs w:val="24"/>
            </w:rPr>
            <w:fldChar w:fldCharType="begin"/>
          </w:r>
          <w:r>
            <w:rPr>
              <w:sz w:val="24"/>
              <w:szCs w:val="24"/>
            </w:rPr>
            <w:instrText xml:space="preserve"> PAGEREF _Toc20479 </w:instrText>
          </w:r>
          <w:r>
            <w:rPr>
              <w:sz w:val="24"/>
              <w:szCs w:val="24"/>
            </w:rPr>
            <w:fldChar w:fldCharType="separate"/>
          </w:r>
          <w:r>
            <w:rPr>
              <w:sz w:val="24"/>
              <w:szCs w:val="24"/>
            </w:rPr>
            <w:t>60</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_Toc7757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《关于注册制下督促证券公司从事投行业务归位尽责的指导意见》（中国证券监督管理委员会公告〔2021〕17号）（7月9日发布）</w:t>
          </w:r>
          <w:r>
            <w:rPr>
              <w:sz w:val="24"/>
              <w:szCs w:val="24"/>
            </w:rPr>
            <w:tab/>
          </w:r>
          <w:r>
            <w:rPr>
              <w:sz w:val="24"/>
              <w:szCs w:val="24"/>
            </w:rPr>
            <w:fldChar w:fldCharType="begin"/>
          </w:r>
          <w:r>
            <w:rPr>
              <w:sz w:val="24"/>
              <w:szCs w:val="24"/>
            </w:rPr>
            <w:instrText xml:space="preserve"> PAGEREF _Toc7757 </w:instrText>
          </w:r>
          <w:r>
            <w:rPr>
              <w:sz w:val="24"/>
              <w:szCs w:val="24"/>
            </w:rPr>
            <w:fldChar w:fldCharType="separate"/>
          </w:r>
          <w:r>
            <w:rPr>
              <w:sz w:val="24"/>
              <w:szCs w:val="24"/>
            </w:rPr>
            <w:t>63</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_Toc10608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《期货公司子公司管理暂行办法（征求意见稿）》公开征求意见（7月9日发布）</w:t>
          </w:r>
          <w:r>
            <w:rPr>
              <w:sz w:val="24"/>
              <w:szCs w:val="24"/>
            </w:rPr>
            <w:tab/>
          </w:r>
          <w:r>
            <w:rPr>
              <w:sz w:val="24"/>
              <w:szCs w:val="24"/>
            </w:rPr>
            <w:fldChar w:fldCharType="begin"/>
          </w:r>
          <w:r>
            <w:rPr>
              <w:sz w:val="24"/>
              <w:szCs w:val="24"/>
            </w:rPr>
            <w:instrText xml:space="preserve"> PAGEREF _Toc10608 </w:instrText>
          </w:r>
          <w:r>
            <w:rPr>
              <w:sz w:val="24"/>
              <w:szCs w:val="24"/>
            </w:rPr>
            <w:fldChar w:fldCharType="separate"/>
          </w:r>
          <w:r>
            <w:rPr>
              <w:sz w:val="24"/>
              <w:szCs w:val="24"/>
            </w:rPr>
            <w:t>64</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_Toc3924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《证券期货违法行为行政处罚办法》（中国证券监督管理委员会令第186号）（7月15日发布）</w:t>
          </w:r>
          <w:r>
            <w:rPr>
              <w:sz w:val="24"/>
              <w:szCs w:val="24"/>
            </w:rPr>
            <w:tab/>
          </w:r>
          <w:r>
            <w:rPr>
              <w:sz w:val="24"/>
              <w:szCs w:val="24"/>
            </w:rPr>
            <w:fldChar w:fldCharType="begin"/>
          </w:r>
          <w:r>
            <w:rPr>
              <w:sz w:val="24"/>
              <w:szCs w:val="24"/>
            </w:rPr>
            <w:instrText xml:space="preserve"> PAGEREF _Toc3924 </w:instrText>
          </w:r>
          <w:r>
            <w:rPr>
              <w:sz w:val="24"/>
              <w:szCs w:val="24"/>
            </w:rPr>
            <w:fldChar w:fldCharType="separate"/>
          </w:r>
          <w:r>
            <w:rPr>
              <w:sz w:val="24"/>
              <w:szCs w:val="24"/>
            </w:rPr>
            <w:t>65</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9"/>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_Toc19314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沪深交易所</w:t>
          </w:r>
          <w:r>
            <w:rPr>
              <w:sz w:val="24"/>
              <w:szCs w:val="24"/>
            </w:rPr>
            <w:tab/>
          </w:r>
          <w:r>
            <w:rPr>
              <w:sz w:val="24"/>
              <w:szCs w:val="24"/>
            </w:rPr>
            <w:fldChar w:fldCharType="begin"/>
          </w:r>
          <w:r>
            <w:rPr>
              <w:sz w:val="24"/>
              <w:szCs w:val="24"/>
            </w:rPr>
            <w:instrText xml:space="preserve"> PAGEREF _Toc19314 </w:instrText>
          </w:r>
          <w:r>
            <w:rPr>
              <w:sz w:val="24"/>
              <w:szCs w:val="24"/>
            </w:rPr>
            <w:fldChar w:fldCharType="separate"/>
          </w:r>
          <w:r>
            <w:rPr>
              <w:sz w:val="24"/>
              <w:szCs w:val="24"/>
            </w:rPr>
            <w:t>66</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_Toc686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深圳证券交易所证券交易业务指南第1号——投资者适当性管理（2021年修订）（7月2日发布）</w:t>
          </w:r>
          <w:r>
            <w:rPr>
              <w:sz w:val="24"/>
              <w:szCs w:val="24"/>
            </w:rPr>
            <w:tab/>
          </w:r>
          <w:r>
            <w:rPr>
              <w:sz w:val="24"/>
              <w:szCs w:val="24"/>
            </w:rPr>
            <w:fldChar w:fldCharType="begin"/>
          </w:r>
          <w:r>
            <w:rPr>
              <w:sz w:val="24"/>
              <w:szCs w:val="24"/>
            </w:rPr>
            <w:instrText xml:space="preserve"> PAGEREF _Toc686 </w:instrText>
          </w:r>
          <w:r>
            <w:rPr>
              <w:sz w:val="24"/>
              <w:szCs w:val="24"/>
            </w:rPr>
            <w:fldChar w:fldCharType="separate"/>
          </w:r>
          <w:r>
            <w:rPr>
              <w:sz w:val="24"/>
              <w:szCs w:val="24"/>
            </w:rPr>
            <w:t>66</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_Toc15205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中国证券登记结算有限责任公司、上海证券交易所、深圳证券交易所债券质押式回购交易结算风险控制指引（2021年修订）（7月9日发布）</w:t>
          </w:r>
          <w:r>
            <w:rPr>
              <w:sz w:val="24"/>
              <w:szCs w:val="24"/>
            </w:rPr>
            <w:tab/>
          </w:r>
          <w:r>
            <w:rPr>
              <w:sz w:val="24"/>
              <w:szCs w:val="24"/>
            </w:rPr>
            <w:fldChar w:fldCharType="begin"/>
          </w:r>
          <w:r>
            <w:rPr>
              <w:sz w:val="24"/>
              <w:szCs w:val="24"/>
            </w:rPr>
            <w:instrText xml:space="preserve"> PAGEREF _Toc15205 </w:instrText>
          </w:r>
          <w:r>
            <w:rPr>
              <w:sz w:val="24"/>
              <w:szCs w:val="24"/>
            </w:rPr>
            <w:fldChar w:fldCharType="separate"/>
          </w:r>
          <w:r>
            <w:rPr>
              <w:sz w:val="24"/>
              <w:szCs w:val="24"/>
            </w:rPr>
            <w:t>66</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_Toc21100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关于发布《上海证券交易所公司债券发行上市审核规则适用指引第2号——特定品种公司债券（2021年修订）》的通知（上证发〔2021〕52号）（7月13日发布）</w:t>
          </w:r>
          <w:r>
            <w:rPr>
              <w:sz w:val="24"/>
              <w:szCs w:val="24"/>
            </w:rPr>
            <w:tab/>
          </w:r>
          <w:r>
            <w:rPr>
              <w:sz w:val="24"/>
              <w:szCs w:val="24"/>
            </w:rPr>
            <w:fldChar w:fldCharType="begin"/>
          </w:r>
          <w:r>
            <w:rPr>
              <w:sz w:val="24"/>
              <w:szCs w:val="24"/>
            </w:rPr>
            <w:instrText xml:space="preserve"> PAGEREF _Toc21100 </w:instrText>
          </w:r>
          <w:r>
            <w:rPr>
              <w:sz w:val="24"/>
              <w:szCs w:val="24"/>
            </w:rPr>
            <w:fldChar w:fldCharType="separate"/>
          </w:r>
          <w:r>
            <w:rPr>
              <w:sz w:val="24"/>
              <w:szCs w:val="24"/>
            </w:rPr>
            <w:t>66</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_Toc29830 </w:instrText>
          </w:r>
          <w:r>
            <w:rPr>
              <w:rFonts w:hint="eastAsia" w:ascii="仿宋_GB2312" w:hAnsi="仿宋_GB2312" w:eastAsia="仿宋_GB2312" w:cs="仿宋_GB2312"/>
              <w:bCs/>
              <w:sz w:val="24"/>
              <w:szCs w:val="24"/>
              <w:lang w:val="en-US" w:eastAsia="zh-CN"/>
            </w:rPr>
            <w:fldChar w:fldCharType="separate"/>
          </w:r>
          <w:r>
            <w:rPr>
              <w:rFonts w:hint="eastAsia" w:ascii="仿宋_GB2312" w:hAnsi="仿宋_GB2312" w:eastAsia="仿宋_GB2312" w:cs="仿宋_GB2312"/>
              <w:bCs/>
              <w:sz w:val="24"/>
              <w:szCs w:val="24"/>
              <w:lang w:val="en-US" w:eastAsia="zh-CN"/>
            </w:rPr>
            <w:t xml:space="preserve">• </w:t>
          </w:r>
          <w:r>
            <w:rPr>
              <w:rFonts w:hint="eastAsia"/>
              <w:sz w:val="24"/>
              <w:szCs w:val="24"/>
              <w:lang w:val="en-US" w:eastAsia="zh-CN"/>
            </w:rPr>
            <w:t>关于发布《上海证券交易所科创板发行上市审核业务指南第3号——业务咨询沟通》的通知（上证函〔2021〕1193号）（7月16日发布）</w:t>
          </w:r>
          <w:r>
            <w:rPr>
              <w:sz w:val="24"/>
              <w:szCs w:val="24"/>
            </w:rPr>
            <w:tab/>
          </w:r>
          <w:r>
            <w:rPr>
              <w:sz w:val="24"/>
              <w:szCs w:val="24"/>
            </w:rPr>
            <w:fldChar w:fldCharType="begin"/>
          </w:r>
          <w:r>
            <w:rPr>
              <w:sz w:val="24"/>
              <w:szCs w:val="24"/>
            </w:rPr>
            <w:instrText xml:space="preserve"> PAGEREF _Toc29830 </w:instrText>
          </w:r>
          <w:r>
            <w:rPr>
              <w:sz w:val="24"/>
              <w:szCs w:val="24"/>
            </w:rPr>
            <w:fldChar w:fldCharType="separate"/>
          </w:r>
          <w:r>
            <w:rPr>
              <w:sz w:val="24"/>
              <w:szCs w:val="24"/>
            </w:rPr>
            <w:t>67</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_Toc6299 </w:instrText>
          </w:r>
          <w:r>
            <w:rPr>
              <w:rFonts w:hint="eastAsia" w:ascii="仿宋_GB2312" w:hAnsi="仿宋_GB2312" w:eastAsia="仿宋_GB2312" w:cs="仿宋_GB2312"/>
              <w:bCs/>
              <w:sz w:val="24"/>
              <w:szCs w:val="24"/>
              <w:lang w:val="en-US" w:eastAsia="zh-CN"/>
            </w:rPr>
            <w:fldChar w:fldCharType="separate"/>
          </w:r>
          <w:r>
            <w:rPr>
              <w:rFonts w:hint="eastAsia"/>
              <w:sz w:val="24"/>
              <w:szCs w:val="24"/>
              <w:lang w:val="en-US" w:eastAsia="zh-CN"/>
            </w:rPr>
            <w:t>• 关于修订《上海证券交易所信用保护工具交易业务指南》的通知（上证函〔2021〕1178号）（7月19日发布）</w:t>
          </w:r>
          <w:r>
            <w:rPr>
              <w:sz w:val="24"/>
              <w:szCs w:val="24"/>
            </w:rPr>
            <w:tab/>
          </w:r>
          <w:r>
            <w:rPr>
              <w:sz w:val="24"/>
              <w:szCs w:val="24"/>
            </w:rPr>
            <w:fldChar w:fldCharType="begin"/>
          </w:r>
          <w:r>
            <w:rPr>
              <w:sz w:val="24"/>
              <w:szCs w:val="24"/>
            </w:rPr>
            <w:instrText xml:space="preserve"> PAGEREF _Toc6299 </w:instrText>
          </w:r>
          <w:r>
            <w:rPr>
              <w:sz w:val="24"/>
              <w:szCs w:val="24"/>
            </w:rPr>
            <w:fldChar w:fldCharType="separate"/>
          </w:r>
          <w:r>
            <w:rPr>
              <w:sz w:val="24"/>
              <w:szCs w:val="24"/>
            </w:rPr>
            <w:t>68</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_Toc3429 </w:instrText>
          </w:r>
          <w:r>
            <w:rPr>
              <w:rFonts w:hint="eastAsia" w:ascii="仿宋_GB2312" w:hAnsi="仿宋_GB2312" w:eastAsia="仿宋_GB2312" w:cs="仿宋_GB2312"/>
              <w:bCs/>
              <w:sz w:val="24"/>
              <w:szCs w:val="24"/>
              <w:lang w:val="en-US" w:eastAsia="zh-CN"/>
            </w:rPr>
            <w:fldChar w:fldCharType="separate"/>
          </w:r>
          <w:r>
            <w:rPr>
              <w:rFonts w:hint="eastAsia"/>
              <w:sz w:val="24"/>
              <w:szCs w:val="24"/>
              <w:lang w:val="en-US" w:eastAsia="zh-CN"/>
            </w:rPr>
            <w:t>• 《上海证券交易所科创板发行上市审核规则适用指引第3号——转板上市申请文件》（上证发〔2021〕57号）《上海证券交易所科创板发行上市审核规则适用指引第4号——转板上市报告书内容与格式》（上证发〔2021〕58号）《上海证券交易所科创板发行上市审核规则适用指引第5号——转板上市保荐书》（上证发〔2021〕59号）（7月24日发布）</w:t>
          </w:r>
          <w:r>
            <w:rPr>
              <w:sz w:val="24"/>
              <w:szCs w:val="24"/>
            </w:rPr>
            <w:tab/>
          </w:r>
          <w:r>
            <w:rPr>
              <w:sz w:val="24"/>
              <w:szCs w:val="24"/>
            </w:rPr>
            <w:fldChar w:fldCharType="begin"/>
          </w:r>
          <w:r>
            <w:rPr>
              <w:sz w:val="24"/>
              <w:szCs w:val="24"/>
            </w:rPr>
            <w:instrText xml:space="preserve"> PAGEREF _Toc3429 </w:instrText>
          </w:r>
          <w:r>
            <w:rPr>
              <w:sz w:val="24"/>
              <w:szCs w:val="24"/>
            </w:rPr>
            <w:fldChar w:fldCharType="separate"/>
          </w:r>
          <w:r>
            <w:rPr>
              <w:sz w:val="24"/>
              <w:szCs w:val="24"/>
            </w:rPr>
            <w:t>69</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5"/>
            <w:tabs>
              <w:tab w:val="right" w:leader="dot" w:pos="8306"/>
            </w:tabs>
            <w:spacing w:line="360" w:lineRule="auto"/>
            <w:rPr>
              <w:sz w:val="24"/>
              <w:szCs w:val="24"/>
            </w:rPr>
          </w:pPr>
          <w:r>
            <w:rPr>
              <w:rFonts w:hint="eastAsia" w:ascii="仿宋_GB2312" w:hAnsi="仿宋_GB2312" w:eastAsia="仿宋_GB2312" w:cs="仿宋_GB2312"/>
              <w:bCs/>
              <w:color w:val="auto"/>
              <w:sz w:val="24"/>
              <w:szCs w:val="24"/>
              <w:lang w:val="en-US" w:eastAsia="zh-CN"/>
            </w:rPr>
            <w:fldChar w:fldCharType="begin"/>
          </w:r>
          <w:r>
            <w:rPr>
              <w:rFonts w:hint="eastAsia" w:ascii="仿宋_GB2312" w:hAnsi="仿宋_GB2312" w:eastAsia="仿宋_GB2312" w:cs="仿宋_GB2312"/>
              <w:bCs/>
              <w:sz w:val="24"/>
              <w:szCs w:val="24"/>
              <w:lang w:val="en-US" w:eastAsia="zh-CN"/>
            </w:rPr>
            <w:instrText xml:space="preserve"> HYPERLINK \l _Toc19292 </w:instrText>
          </w:r>
          <w:r>
            <w:rPr>
              <w:rFonts w:hint="eastAsia" w:ascii="仿宋_GB2312" w:hAnsi="仿宋_GB2312" w:eastAsia="仿宋_GB2312" w:cs="仿宋_GB2312"/>
              <w:bCs/>
              <w:sz w:val="24"/>
              <w:szCs w:val="24"/>
              <w:lang w:val="en-US" w:eastAsia="zh-CN"/>
            </w:rPr>
            <w:fldChar w:fldCharType="separate"/>
          </w:r>
          <w:r>
            <w:rPr>
              <w:rFonts w:hint="eastAsia"/>
              <w:sz w:val="24"/>
              <w:szCs w:val="24"/>
              <w:lang w:val="en-US" w:eastAsia="zh-CN"/>
            </w:rPr>
            <w:t>• 《深圳证券交易所创业板发行上市审核业务指南第1号——创业板发行上市申请文件受理关注要点》等业务指南（深证上〔2021〕724号）（7月23日发布）</w:t>
          </w:r>
          <w:r>
            <w:rPr>
              <w:sz w:val="24"/>
              <w:szCs w:val="24"/>
            </w:rPr>
            <w:tab/>
          </w:r>
          <w:r>
            <w:rPr>
              <w:sz w:val="24"/>
              <w:szCs w:val="24"/>
            </w:rPr>
            <w:fldChar w:fldCharType="begin"/>
          </w:r>
          <w:r>
            <w:rPr>
              <w:sz w:val="24"/>
              <w:szCs w:val="24"/>
            </w:rPr>
            <w:instrText xml:space="preserve"> PAGEREF _Toc19292 </w:instrText>
          </w:r>
          <w:r>
            <w:rPr>
              <w:sz w:val="24"/>
              <w:szCs w:val="24"/>
            </w:rPr>
            <w:fldChar w:fldCharType="separate"/>
          </w:r>
          <w:r>
            <w:rPr>
              <w:sz w:val="24"/>
              <w:szCs w:val="24"/>
            </w:rPr>
            <w:t>71</w:t>
          </w:r>
          <w:r>
            <w:rPr>
              <w:sz w:val="24"/>
              <w:szCs w:val="24"/>
            </w:rPr>
            <w:fldChar w:fldCharType="end"/>
          </w:r>
          <w:r>
            <w:rPr>
              <w:rFonts w:hint="eastAsia" w:ascii="仿宋_GB2312" w:hAnsi="仿宋_GB2312" w:eastAsia="仿宋_GB2312" w:cs="仿宋_GB2312"/>
              <w:bCs/>
              <w:color w:val="auto"/>
              <w:sz w:val="24"/>
              <w:szCs w:val="24"/>
              <w:lang w:val="en-US" w:eastAsia="zh-CN"/>
            </w:rPr>
            <w:fldChar w:fldCharType="end"/>
          </w:r>
        </w:p>
        <w:p>
          <w:pPr>
            <w:pStyle w:val="8"/>
            <w:tabs>
              <w:tab w:val="right" w:leader="dot" w:pos="8306"/>
            </w:tabs>
            <w:spacing w:before="0" w:beforeLines="0" w:after="0" w:afterLines="0" w:line="360" w:lineRule="auto"/>
            <w:ind w:left="0" w:leftChars="0" w:right="0" w:rightChars="0" w:firstLine="0" w:firstLineChars="0"/>
            <w:jc w:val="center"/>
            <w:rPr>
              <w:rFonts w:hint="eastAsia" w:ascii="仿宋_GB2312" w:hAnsi="仿宋_GB2312" w:eastAsia="仿宋_GB2312" w:cs="仿宋_GB2312"/>
              <w:bCs/>
              <w:color w:val="auto"/>
              <w:kern w:val="2"/>
              <w:sz w:val="21"/>
              <w:szCs w:val="28"/>
              <w:lang w:val="en-US" w:eastAsia="zh-CN" w:bidi="ar-SA"/>
            </w:rPr>
          </w:pPr>
          <w:r>
            <w:rPr>
              <w:rFonts w:hint="eastAsia" w:ascii="仿宋_GB2312" w:hAnsi="仿宋_GB2312" w:eastAsia="仿宋_GB2312" w:cs="仿宋_GB2312"/>
              <w:bCs/>
              <w:color w:val="auto"/>
              <w:sz w:val="24"/>
              <w:szCs w:val="24"/>
              <w:lang w:val="en-US" w:eastAsia="zh-CN"/>
            </w:rPr>
            <w:fldChar w:fldCharType="end"/>
          </w:r>
        </w:p>
      </w:sdtContent>
    </w:sdt>
    <w:p>
      <w:pPr>
        <w:rPr>
          <w:rFonts w:hint="eastAsia" w:ascii="仿宋_GB2312" w:hAnsi="仿宋_GB2312" w:eastAsia="仿宋_GB2312" w:cs="仿宋_GB2312"/>
          <w:bCs/>
          <w:color w:val="auto"/>
          <w:kern w:val="2"/>
          <w:sz w:val="21"/>
          <w:szCs w:val="28"/>
          <w:lang w:val="en-US" w:eastAsia="zh-CN" w:bidi="ar-SA"/>
        </w:rPr>
      </w:pPr>
    </w:p>
    <w:p>
      <w:pPr>
        <w:rPr>
          <w:rFonts w:hint="eastAsia" w:ascii="仿宋_GB2312" w:hAnsi="仿宋_GB2312" w:eastAsia="仿宋_GB2312" w:cs="仿宋_GB2312"/>
          <w:bCs/>
          <w:color w:val="auto"/>
          <w:kern w:val="2"/>
          <w:sz w:val="21"/>
          <w:szCs w:val="28"/>
          <w:lang w:val="en-US" w:eastAsia="zh-CN" w:bidi="ar-SA"/>
        </w:rPr>
      </w:pPr>
    </w:p>
    <w:p>
      <w:pPr>
        <w:rPr>
          <w:rFonts w:hint="eastAsia" w:ascii="仿宋_GB2312" w:hAnsi="仿宋_GB2312" w:eastAsia="仿宋_GB2312" w:cs="仿宋_GB2312"/>
          <w:bCs/>
          <w:color w:val="auto"/>
          <w:kern w:val="2"/>
          <w:sz w:val="21"/>
          <w:szCs w:val="28"/>
          <w:lang w:val="en-US" w:eastAsia="zh-CN" w:bidi="ar-SA"/>
        </w:rPr>
      </w:pPr>
    </w:p>
    <w:p>
      <w:pPr>
        <w:rPr>
          <w:rFonts w:hint="eastAsia" w:ascii="仿宋_GB2312" w:hAnsi="仿宋_GB2312" w:eastAsia="仿宋_GB2312" w:cs="仿宋_GB2312"/>
          <w:b/>
          <w:bCs/>
          <w:color w:val="C00000"/>
          <w:sz w:val="28"/>
          <w:szCs w:val="28"/>
          <w:lang w:val="en-US" w:eastAsia="zh-CN"/>
        </w:rPr>
      </w:pPr>
    </w:p>
    <w:p>
      <w:pPr>
        <w:rPr>
          <w:rFonts w:hint="eastAsia" w:ascii="仿宋_GB2312" w:hAnsi="仿宋_GB2312" w:eastAsia="仿宋_GB2312" w:cs="仿宋_GB2312"/>
          <w:b/>
          <w:bCs/>
          <w:color w:val="C00000"/>
          <w:sz w:val="28"/>
          <w:szCs w:val="28"/>
          <w:lang w:val="en-US" w:eastAsia="zh-CN"/>
        </w:rPr>
      </w:pPr>
    </w:p>
    <w:p>
      <w:pPr>
        <w:rPr>
          <w:rFonts w:hint="eastAsia" w:ascii="仿宋_GB2312" w:hAnsi="仿宋_GB2312" w:eastAsia="仿宋_GB2312" w:cs="仿宋_GB2312"/>
          <w:b/>
          <w:bCs/>
          <w:color w:val="C00000"/>
          <w:sz w:val="28"/>
          <w:szCs w:val="28"/>
          <w:lang w:val="en-US" w:eastAsia="zh-CN"/>
        </w:rPr>
      </w:pPr>
    </w:p>
    <w:p>
      <w:pPr>
        <w:pStyle w:val="2"/>
        <w:bidi w:val="0"/>
        <w:rPr>
          <w:rFonts w:hint="default" w:ascii="仿宋_GB2312" w:hAnsi="仿宋_GB2312" w:eastAsia="仿宋_GB2312" w:cs="仿宋_GB2312"/>
          <w:b/>
          <w:bCs/>
          <w:color w:val="C00000"/>
          <w:sz w:val="28"/>
          <w:szCs w:val="28"/>
          <w:lang w:val="en-US" w:eastAsia="zh-CN"/>
        </w:rPr>
      </w:pPr>
      <w:bookmarkStart w:id="0" w:name="_Toc16270"/>
      <w:r>
        <w:rPr>
          <w:rFonts w:hint="eastAsia" w:ascii="仿宋_GB2312" w:hAnsi="仿宋_GB2312" w:eastAsia="仿宋_GB2312" w:cs="仿宋_GB2312"/>
          <w:b/>
          <w:bCs/>
          <w:color w:val="C00000"/>
          <w:sz w:val="28"/>
          <w:szCs w:val="28"/>
          <w:lang w:val="en-US" w:eastAsia="zh-CN"/>
        </w:rPr>
        <w:t>◆</w:t>
      </w:r>
      <w:r>
        <w:rPr>
          <w:rFonts w:hint="eastAsia"/>
          <w:color w:val="C00000"/>
          <w:lang w:val="en-US" w:eastAsia="zh-CN"/>
        </w:rPr>
        <w:t xml:space="preserve"> 刊首语</w:t>
      </w:r>
      <w:bookmarkEnd w:id="0"/>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当下河南，汛情叠加疫情，给我们的工作、生活带来了很大影响，在河南证监局指导下，河南上市公司协会聚焦会员信息需求，创新信息服务模式。于是，《会员信息专递》应时而生。</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随着互联网信息技术的迅猛发展，我们身边充斥着海量的、快速迭代的、有时又真假难辨的各类信息。《会员信息专递》这一专刊，本着“专心、专业、专注、专属”的宗旨，将从“监管之声”、“协会动态”、“辖区上市公司资本运作概要”、“辖区IPO（含精选层）在审项目基本情况”、“违规案例”、“法律规则”等贴合会员需求的角度，梳理资本市场有助于会员规范发展的各类信息，力争做到真实、准确、专业、系统，为会员的规范治理和高质量发展尽一份绵薄之力。</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会员信息专递》是我们进行会员多元化信息服务的一个探索。近两年来，协会依托专业网站、微信公众平台、协会网站等开展了形式多样的信息服务，主要包括：线上培训、专题解读、设立专栏、热点追踪等。其中，专题解读包括“证券法微课堂”、“科创板微课堂”、“创业板微课堂”、“新三板微课堂”等，设立专栏包括：“上市公司之窗”、“新三板风采录”、“河南上市公司信披日报”，热点追踪主要关注社会热点事件，如2020年初爆发的新冠疫情以及刚刚过去的7月洪涝灾害，协会通过微信公众平台积极关注并向市场传递辖区上市公司抗疫救灾、恢复生产的情况。通过不断探索，建立更多行之有效的信息服务内容和形式。</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千年潮未落，风起再扬帆。我们党的百年奋斗历程告诉我们：自立自强是战胜一切苦难的最大法宝。涝疫灾难面前，河南上市公司表现出的自强不息、勇于担当的社会责任感和使命感，是我们战胜困难的底气所在。风雨压不跨，苦难中开花。相信在党和政府的坚强领导下，在资本市场各方的关怀支持下，在全国人民的关心支援下，河南人民终能拨云见日，战胜疫情。在前进的路上，我们期望《会员信息专递》能为您的工作赢得更多宝贵时间，能成为您工作上的贴心帮手，能成为</w:t>
      </w:r>
      <w:r>
        <w:rPr>
          <w:rFonts w:hint="eastAsia" w:ascii="仿宋_GB2312" w:hAnsi="仿宋_GB2312" w:eastAsia="仿宋_GB2312" w:cs="仿宋_GB2312"/>
          <w:b w:val="0"/>
          <w:bCs w:val="0"/>
          <w:color w:val="auto"/>
          <w:sz w:val="28"/>
          <w:szCs w:val="28"/>
          <w:lang w:val="en-US" w:eastAsia="zh-CN"/>
        </w:rPr>
        <w:t>工作信息传递中不可或缺的必备。同时，也希望各位会员能够给与《会员信息专递》多一些支持和鼓励，我们愿与各位会员一起，集思广益，群策群力，办好属于河南资本市场自己的信息专递。</w:t>
      </w:r>
    </w:p>
    <w:p>
      <w:pPr>
        <w:rPr>
          <w:rFonts w:hint="eastAsia" w:ascii="仿宋_GB2312" w:hAnsi="仿宋_GB2312" w:eastAsia="仿宋_GB2312" w:cs="仿宋_GB2312"/>
          <w:b w:val="0"/>
          <w:bCs w:val="0"/>
          <w:color w:val="auto"/>
          <w:kern w:val="0"/>
          <w:sz w:val="28"/>
          <w:szCs w:val="28"/>
          <w:lang w:val="en-US" w:eastAsia="zh-CN" w:bidi="ar"/>
        </w:rPr>
      </w:pPr>
    </w:p>
    <w:p>
      <w:pPr>
        <w:pStyle w:val="2"/>
        <w:bidi w:val="0"/>
        <w:rPr>
          <w:rFonts w:hint="default"/>
          <w:color w:val="C00000"/>
          <w:lang w:val="en-US" w:eastAsia="zh-CN"/>
        </w:rPr>
      </w:pPr>
      <w:bookmarkStart w:id="1" w:name="_Toc184"/>
      <w:r>
        <w:rPr>
          <w:rFonts w:hint="eastAsia" w:ascii="仿宋_GB2312" w:hAnsi="仿宋_GB2312" w:eastAsia="仿宋_GB2312" w:cs="仿宋_GB2312"/>
          <w:b/>
          <w:bCs/>
          <w:color w:val="C00000"/>
          <w:sz w:val="28"/>
          <w:szCs w:val="28"/>
          <w:lang w:val="en-US" w:eastAsia="zh-CN"/>
        </w:rPr>
        <w:t xml:space="preserve">◆ </w:t>
      </w:r>
      <w:r>
        <w:rPr>
          <w:rFonts w:hint="eastAsia"/>
          <w:color w:val="C00000"/>
          <w:lang w:val="en-US" w:eastAsia="zh-CN"/>
        </w:rPr>
        <w:t>监管之声</w:t>
      </w:r>
      <w:bookmarkEnd w:id="1"/>
    </w:p>
    <w:p>
      <w:pPr>
        <w:pStyle w:val="3"/>
        <w:bidi w:val="0"/>
        <w:ind w:firstLine="482" w:firstLineChars="200"/>
        <w:rPr>
          <w:rFonts w:hint="eastAsia"/>
          <w:color w:val="auto"/>
          <w:lang w:val="en-US" w:eastAsia="zh-CN"/>
        </w:rPr>
      </w:pPr>
      <w:bookmarkStart w:id="2" w:name="_Toc2095"/>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证监会主席易会满就《关于依法从严打击证券违法活动的意见》发布接受新华社记者专访（7月6日发布）</w:t>
      </w:r>
      <w:bookmarkEnd w:id="2"/>
    </w:p>
    <w:p>
      <w:pPr>
        <w:ind w:firstLine="560" w:firstLineChars="200"/>
        <w:rPr>
          <w:rFonts w:hint="eastAsia" w:ascii="仿宋_GB2312" w:hAnsi="仿宋_GB2312" w:eastAsia="仿宋_GB2312" w:cs="仿宋_GB2312"/>
          <w:b w:val="0"/>
          <w:bCs w:val="0"/>
          <w:color w:val="auto"/>
          <w:sz w:val="28"/>
          <w:szCs w:val="28"/>
          <w:lang w:val="en-US" w:eastAsia="zh-CN"/>
        </w:rPr>
      </w:pPr>
      <w:bookmarkStart w:id="3" w:name="_Toc1553"/>
      <w:bookmarkStart w:id="4" w:name="_Toc13171"/>
      <w:bookmarkStart w:id="5" w:name="_Toc19280"/>
      <w:r>
        <w:rPr>
          <w:rFonts w:hint="eastAsia" w:ascii="仿宋_GB2312" w:hAnsi="仿宋_GB2312" w:eastAsia="仿宋_GB2312" w:cs="仿宋_GB2312"/>
          <w:b w:val="0"/>
          <w:bCs w:val="0"/>
          <w:color w:val="auto"/>
          <w:sz w:val="28"/>
          <w:szCs w:val="28"/>
          <w:lang w:val="en-US" w:eastAsia="zh-CN"/>
        </w:rPr>
        <w:t>7月6日，中办、国办公布《关于依法从严打击证券违法活动的意见》，对加快健全证券执法司法体制机制，加大重大违法案件查处惩治力度，加强跨境监管执法协作，夯实资本市场法治和诚信基础，推动形成崇法守信的良好市场生态作出重要部署。就意见出台的背景意义、有关工作考虑等各方关注问题，新华社记者专访了中国证监会主席易会满。</w:t>
      </w:r>
      <w:bookmarkEnd w:id="3"/>
      <w:bookmarkEnd w:id="4"/>
      <w:bookmarkEnd w:id="5"/>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注册制改革对证券监管执法提出更高要求</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问：意见出台的背景是什么？</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答：依法从严打击证券违法活动，是维护市场“三公”秩序、营造良好市场生态的内在要求。党的十八大以来，我国资本市场发展取得新的成就，全面深化改革开放不断向纵深推进，市场主体活力和竞争力日益增强，服务实体经济的质效不断提升。</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同时，较长一段时间以来，由于制度建设存在短板，证券违法犯罪成本较低。上市公司财务造假和内幕交易、操纵市场等违法行为呈高发态势，发生了诸如康得新、康美药业等恶性案件，社会各方反映强烈。随着注册制改革的逐步全面推行，在放宽前端准入的同时，对加强后端的监管执法提出了更高要求。</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去年7月11日，国务院金融委第三十六次会议专门研究全面落实“零容忍”要求，多措并举加强和改进证券执法工作。此后，在有关部门的大力支持下，起草形成了意见草案，于去年11月2日经中央深改委第十六次会议审议通过。</w:t>
      </w: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高规格文件出台释放出诸多信号</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问：如何认识意见出台的重大意义？</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答：意见是资本市场历史上第一次以中办、国办名义联合印发打击证券违法活动的专门文件，是当前和今后一个时期全方位加强和改进证券监管执法工作的行动纲领，意义重大、影响深远。</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意见为全面深化资本市场改革、更好推动资本市场高质量发展提供了重要保障。资本市场在金融运行中具有牵一发而动全身的作用。近年来，资本市场正发生深刻的结构性变化，市场功能日益增强。意见的出台，有利于营造各方愿意来、留得住的市场生态，更好服务经济高质量发展。</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意见为进一步落实“建制度、不干预、零容忍”九字方针提供了遵循。意见明确将九字方针作为资本市场执法司法的指导思想，对于加快构建更加成熟更加定型的资本市场基础制度体系，切实提高违法成本，坚决维护资本市场秩序和保护投资者合法权益具有重要指导意义。</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意见完善了中国特色证券执法司法体制机制的顶层设计。意见以体制机制改革为主线，确立了“十四五”证券执法司法工作的主要目标与重点任务，目标清晰、路径明确，对于实现行政执法与刑事司法高效衔接，提高证券执法司法效能具有重要意义。</w:t>
      </w: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打击证券违法将明确目标抓住重点</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问：意见的主要目标和重点内容是什么？</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答：意见明确了资本市场未来五年打击证券违法活动的主要目标。到2022年的目标包括“依法从严打击证券违法活动的执法司法体制和协调配合机制初步建立”“重大违法犯罪案件多发频发态势得到有效遏制”“资本市场秩序明显改善”等。到2025年的目标包括“证券执法司法透明度、规范性和公信力显著提升”“行政执法与刑事司法衔接高效顺畅”“崇法守信、规范透明、开放包容的良好资本市场生态全面形成”等。</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为达成这些目标，意见规定了七个方面、二十七条具体举措。总的看，突出体现了四方面的导向：</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一是坚持法治原则。意见提出要完善资本市场违法犯罪法律责任制度体系，提高证券领域立法效率，加快制定期货法；贯彻实施刑法修正案（十一），健全民事赔偿制度，抓紧推进证券纠纷代表人诉讼制度实施，建立健全资本市场法律域外适用制度等。</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二是坚持统筹协调。意见把建立健全体制机制放在重要位置，部署成立打击资本市场违法活动协调工作小组，进一步发挥公安部证券犯罪侦查局派驻证监会的体制优势，完善证券案件检察和审判体制机制，进一步强化打击证券违法活动合力。</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三是坚持“零容忍”要求。意见明确要求坚持分类监管、精准打击，依法从严从快查处欺诈发行、虚假陈述、操纵市场、内幕交易、利用未公开信息交易以及编造、传播虚假信息等重大违法案件，加大对发行人控股股东及实控人、违法中介机构及其从业人员等的追责力度。</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四是坚持底线思维。意见将依法从严打击证券违法活动与有效防范化解风险、维护国家安全和社会稳定相结合，要求坚决取缔非法证券经营机构、坚决清理非法证券业务；加强债券市场统一执法；加大对私募领域非法集资、私募基金管理人及其从业人员侵占或挪用基金财产等行为的刑事打击力度。</w:t>
      </w: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一系列重点任务已取得积极进展</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问：从意见印发到此次公开，贯彻落实的进展如何？</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答：意见印发后，一批重点任务取得了积极进展。</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一是有关法律法规的制定工作加快推进，期货法草案已经全国人大常委会一读审议；私募基金条例即将提交审议。</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二是成立打击资本市场违法活动协调工作小组，配合最高人民检察院建立派驻检察的工作机制。北京金融法院正式成立。</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三是从重从快查办了一批重点类型、重要领域的典型案件。乐视网财务造假等案件已作出行政处罚。华晨债、永煤债等债券信息披露违法违规行为受到查处。首单证券纠纷特别代表人诉讼——康美药业证券虚假陈述责任纠纷一案已经启动。康得新已完成退市摘牌。</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近期，市场各方对以市值管理之名行操纵市场之实等违法行为比较关注。事实上，市值管理与操纵市场有着清晰的边界。证监会将会同公安机关坚决打击“伪市值管理”等违法行为，切实净化市场生态。</w:t>
      </w: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未来将深化协同促进形成工作合力</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问：对下一步工作有何考虑？</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答：一是突出重点，抓好关键任务落地。切实提高政治站位，落实落细各项措施。紧紧围绕体制机制改革的主线，会同相关方面抓好协调小组、派驻检察、内部通报制度等重点任务落地，让市场各方有切切实实的获得感。二是深化协同，促进形成工作合力。不断强化与立法司法、宏观管理、市场监管等部门以及有关地方的工作协同，切实提高打击资本市场违法犯罪的整体效能。三是加强宣传，营造良好舆论环境。加强政策解读，抓好示范引导，向市场明确传递“零容忍”的鲜明信号，加快推动形成崇法守信的良好市场生态和文化。</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意见的出台，是资本市场治理体系和治理能力现代化建设的一个新起点。证券监管系统将力争通过3到5年的努力，全面落实好意见提出的各项目标任务，为建设规范、透明、开放、有活力、有韧性的资本市场提供更加坚实的法治保障，努力为实现经济社会高质量发展做出更大贡献。</w:t>
      </w:r>
    </w:p>
    <w:p>
      <w:pPr>
        <w:pStyle w:val="3"/>
        <w:bidi w:val="0"/>
        <w:ind w:firstLine="482" w:firstLineChars="200"/>
        <w:rPr>
          <w:rFonts w:hint="default"/>
          <w:color w:val="auto"/>
          <w:lang w:val="en-US" w:eastAsia="zh-CN"/>
        </w:rPr>
      </w:pPr>
      <w:bookmarkStart w:id="6" w:name="_Toc5461"/>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证监会严厉打击操纵市场、内幕交易等证券违法活动（7月9日发布）</w:t>
      </w:r>
      <w:bookmarkEnd w:id="6"/>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操纵市场、内幕交易严重破坏市场交易秩序，严重干扰市场功能发挥，严重侵害投资者合法权益，是影响证券市场健康发展的“沉疴顽疾”，历来是证监会稽查执法严厉打击的重点。2020年以来，证监会依法启动操纵市场案件调查90起、内幕交易160起，合计占同期新增案件的52%；作出操纵市场、内幕交易案件行政处罚176件，罚没金额累计超过50亿元；向公安机关移送涉嫌操纵市场犯罪案件线索41起、内幕交易123起，合计占移送案件总数76%，移送犯罪嫌疑人330名。</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2020年以来，我会严厉打击的操纵市场、内幕交易主要表现为：一是上市公司实际控制人与市场掮客、操纵团伙形成利益共同体，内外勾结，合谋“坐庄”炒作本公司股票。例如，实际控制人陈某铭为了高价质押股份，指使上市公司时任总经理谢某、市场操盘手胡某等人操纵中昌数据股价，非法获利1100余万元。二是通过连续交易等手段操纵流通市值较小的股票，恶意“炒小、炒差、炒新”，造成相关股票价格在短时间内暴涨暴跌。例如，私募基金实际控制人景某滥用杠杆交易操纵仁东控股，该股价格连续上涨后“闪崩”跌停。三是操纵团伙利用股市“黑嘴”诱骗投资者高价买入股票，同时其反向卖出相关股票非法牟利，例如，郑某等人操纵嘉美包装股价，为短期内迅速出货，伙同股市“黑嘴”利用直播间、微信群诱骗投资者集中买入、借机高价卖出，非法获利数千万元。四是法定内幕信息知情人滥用信息优势从事内幕交易，有的在重大事项公告前突击买入，有的在业绩预亏、商誉减值等利空信息发布前精准减持，还有的非法泄露内幕信息导致窝案、串案发生。例如，被收购公司法定代表人颜某某利用相关信息内幕交易1700余万元，非法获利300余万元；上市公司独立董事胡某等人在朋友圈、同事圈内泄露内幕信息并多层传递，11人因内幕交易被处罚。</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操纵市场、内幕交易的涉案主体多、违法链条长、危害后果重，且手段隐蔽，对投资者欺骗误导性强，对市场交易秩序破坏性大，必须予以严厉惩治。根据案发态势，近年来证监会稽查执法部门强化精准发现，强化机制创新，强化行刑协作，统筹推进以下工作：一是依托交易所大数据监控技术，加强异常交易账户信息、违法线索综合分析研判，提升全链条打击的精准度。加大对以市值管理之名行操纵市场之实等违法行为的打击力度。二是坚持打幕后、打组织、打网络，通过统一指挥、集中部署、联合办案，形成集团作战、密切协同的执法格局。三是完善与公安机关的线索研判、数据共享、情报导侦、协同办案等协作机制，不断加大对证券违法犯罪的打击力度。四是坚决落实新《证券法》以及《刑法》修正案（十一）相关规定，着力构建行政、刑事、民事的全方位立体式追责体系。</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下一步，证监会将坚决贯彻中办、国办发布的《关于依法从严打击证券违法活动的意见》，落实“零容忍”工作方针，立足防范化解金融风险和保护投资者合法权益的监管大局，密切关注市场动态，密切关注账户联动，密切关注异常交易，依法依规严肃查处操纵市场和内幕交易等行为，持续净化市场生态，为资本市场高质量发展提供坚强法治保障。</w:t>
      </w:r>
    </w:p>
    <w:p>
      <w:pPr>
        <w:pStyle w:val="3"/>
        <w:bidi w:val="0"/>
        <w:rPr>
          <w:rFonts w:hint="default"/>
          <w:color w:val="auto"/>
          <w:lang w:val="en-US" w:eastAsia="zh-CN"/>
        </w:rPr>
      </w:pPr>
      <w:r>
        <w:rPr>
          <w:rFonts w:hint="eastAsia"/>
          <w:color w:val="auto"/>
          <w:lang w:val="en-US" w:eastAsia="zh-CN"/>
        </w:rPr>
        <w:t xml:space="preserve"> </w:t>
      </w:r>
      <w:bookmarkStart w:id="7" w:name="_Toc13806"/>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证监会集中部署专项执法行动依法严厉打击证券违法活动（7月16日发布）</w:t>
      </w:r>
      <w:bookmarkEnd w:id="7"/>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为贯彻落实中办、国办发布的《关于依法从严打击证券违法活动的意见》，按照国务院金融委“建制度、不干预、零容忍”的工作方针，结合当前证券违法活动案发特点及违法态势，近日，证监会集中部署专项执法行动，集中打击财务造假、资金占用、违规担保及操纵市场、内幕交易等严重违法行为，依法从严从快从重查办16起重大典型案件。目前，相关调查工作已经全面展开。</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16起案件主要涉及：一是严重侵蚀市场诚信基础，破坏信息披露制度严肃性的案件。包括通过虚构存货及贸易业务实施系统性财务造假，滥用会计准则和会计政策虚增利润，利用多种手段粉饰公司业绩等。个别公司屡次涉案违法，少数董事、监事、高管人员违背对公司的忠实义务，为掩盖资金挪用组织、策划财务造假。二是严重侵害上市公司利益，影响上市公司质量提升的案件。包括上市公司实际控制人、大股东等长时间巨额占用上市公司资金、违规担保等，有的占用上市公司资金偿还银行借款、兑付票据，有的私刻公章以上市公司名义为实际控制人违规提供担保。三是严重破坏公平交易原则，损害投资者利益的案件。包括上市公司实际控制人、大股东以市值管理之名，与私募机构、操盘方、配资中介等合谋，利用资金、持股优势拉抬公司股价；上市公司大股东获悉公司业绩亏损信息后提前卖出股票避损；个别上市公司多次在筹划重大事项时发生内幕交易。四是严重背离职业操守，丧失“看门人”作用的案件。包括上市公司相关审计机构单方面依赖公司提供信息，搞“抄账式”审计，未对舞弊风险事项执行充分的审计程序，甚至还与上市公司提前商定审计意见类型。</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下一步，我会将坚决贯彻“零容忍”方针，集中调配稽查执法力量，创新调查组织模式，坚持全链条打击，坚持全方位追责，持续保持对证券欺诈、造假、“伪市值管理”等各类证券违法行为的高压态势，强化执法震慑，净化市场生态，促进资本市场健康稳定发展。有关案件查处情况将及时公布。</w:t>
      </w:r>
    </w:p>
    <w:p>
      <w:pPr>
        <w:pStyle w:val="3"/>
        <w:bidi w:val="0"/>
        <w:ind w:firstLine="241" w:firstLineChars="100"/>
        <w:rPr>
          <w:rFonts w:hint="eastAsia" w:ascii="仿宋_GB2312" w:hAnsi="仿宋_GB2312" w:eastAsia="仿宋_GB2312" w:cs="仿宋_GB2312"/>
          <w:b w:val="0"/>
          <w:bCs w:val="0"/>
          <w:color w:val="auto"/>
          <w:sz w:val="28"/>
          <w:szCs w:val="28"/>
          <w:lang w:val="en-US" w:eastAsia="zh-CN"/>
        </w:rPr>
      </w:pPr>
      <w:bookmarkStart w:id="8" w:name="_Toc9208"/>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证监会通报首批适用新《证券法》财务造假案件处罚情况（7月23日发布）</w:t>
      </w:r>
      <w:bookmarkEnd w:id="8"/>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一是宜华生活案，宜华生活多年连续通过虚增利润的方式实施重大财务造假。证监会拟对该案违法主体合计罚款3,980万元，同时对实际控制人采取终身市场禁入、对主要责任人员采取最高10年证券市场禁入。</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广东榕泰案，广东榕泰在2018年至2019年期间，通过虚构销售回款、虚构保理业务方式虚增利润，相关报告未按规定披露关联关系、日常经营性关联交易，信息披露存在虚假记载和重大遗漏。证监会决定对本案违法主体罚款合计1,450万元。</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三是中潜股份案，中潜股份存在虚增营业收入、未按规定披露关联交易、相关公告存在误导性陈述情况。证监会拟对本案违法主体罚款合计1,540万元。</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上市公司财务造假是证券市场的“毒瘤”。本次通报的上市公司财务造假案件均呈现涉案金额大、涉众性广、主观恶性强、违法手段复杂隐蔽等特点，社会影响恶劣。此次通报的三起案件，彰显证券监管部门对财务造假等恶性违法行为的“零容忍”态度，并秉持抓“关键少数”的监管理念，对重点责任人员施以重罚及采取市场禁入。同时，通过构建立体追责体系，让违法者承担行政、刑事、民事等应有的责任。</w:t>
      </w:r>
    </w:p>
    <w:p>
      <w:pPr>
        <w:pStyle w:val="3"/>
        <w:bidi w:val="0"/>
        <w:ind w:firstLine="241" w:firstLineChars="100"/>
        <w:rPr>
          <w:rFonts w:hint="eastAsia" w:ascii="仿宋_GB2312" w:hAnsi="仿宋_GB2312" w:eastAsia="仿宋_GB2312" w:cs="仿宋_GB2312"/>
          <w:b w:val="0"/>
          <w:bCs w:val="0"/>
          <w:color w:val="auto"/>
          <w:sz w:val="28"/>
          <w:szCs w:val="28"/>
          <w:lang w:val="en-US" w:eastAsia="zh-CN"/>
        </w:rPr>
      </w:pPr>
      <w:bookmarkStart w:id="9" w:name="_Toc12939"/>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证监会通报“中源家居”“利通电子”等股票价格操纵案调查进展（7月23日发布）</w:t>
      </w:r>
      <w:bookmarkEnd w:id="9"/>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中国证监会于5月16日启动对相关账户涉嫌操纵“中源家居”“利通电子”等股票价格案的调查程序，经查发现，史某等操纵团伙控制数十个证券账户，通过连续交易、对倒等违法方式拉抬“中源家居”“利通电子”股票价格，交易金额达30余亿元，相关行为已达到刑事立案追诉标准，涉嫌构成操纵市场犯罪，且存在相关金融机构个别人员涉嫌非国家工作人员受贿犯罪的情形，证监会已将上述涉嫌违法犯罪案件及线索移送公安机关追究刑事责任，并配合公安机关开展联合行动，将涉嫌犯罪人员抓捕归案，相关侦办工作已全面展开。</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从严从快从重打击证券违法活动已是证券监管的主基调。尤其值得关注的是，随着中办、国办《关于依法从严打击证券违法活动的意见》及《证券期货违法行为行政处罚办法》等文件的陆续出台，对于严重破坏市场“三公”原则的操纵市场行为，证券监管部门将加强与公安的协作配合，实现行政执法与刑事司法的高效顺畅衔接。</w:t>
      </w:r>
    </w:p>
    <w:p>
      <w:pPr>
        <w:pStyle w:val="3"/>
        <w:bidi w:val="0"/>
        <w:ind w:firstLine="241" w:firstLineChars="100"/>
        <w:rPr>
          <w:rFonts w:hint="eastAsia" w:ascii="仿宋_GB2312" w:hAnsi="仿宋_GB2312" w:eastAsia="仿宋_GB2312" w:cs="仿宋_GB2312"/>
          <w:b w:val="0"/>
          <w:bCs w:val="0"/>
          <w:color w:val="auto"/>
          <w:sz w:val="28"/>
          <w:szCs w:val="28"/>
          <w:lang w:val="en-US" w:eastAsia="zh-CN"/>
        </w:rPr>
      </w:pPr>
      <w:bookmarkStart w:id="10" w:name="_Toc25643"/>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中国证监会公布2021年证券公司分类结果（7月23日发布）</w:t>
      </w:r>
      <w:bookmarkEnd w:id="10"/>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根据《证券公司分类监管规定》，证券公司分为A（AAA、AA、A）、B（BBB、BB、B）、C（CCC、CC、C）、D、E等5大类11个级别。A、B、C三大类中各级别公司均为正常经营公司。D类、E类公司分别为潜在风险可能超过公司可承受范围及因发生重大风险被依法采取风险处置措施的公司。</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从评价结果来看，2020年共有50家券商被评为A类，占比48.54%，其中有14家券商评为A类AA级；B类券商共有39家，占比37.86%；13家券商被评为C类；仅有网信证券1家被评为D级。</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证券公司分类评级的结果不仅直接影响券商品牌、股价，还影响各家券商未来业务开展以及面临的监管尺度，具体影响包括风险控制指标标准、风险资本准备计算比例、监管资源分配、新设营业网点、发行上市、新业务试点资质、发债融资成本、参与业务竞标资质等多个方面。证券公司评级低将产生多方面不利影响，如不能先行试点创新业务、面临高频现场检查的频率、缴纳更多的投保基金，还会影响券商自身融资成本等。在分类监管的原则指导下，评级稳定、领先的大型综合券商具有显著优势，与分类评级靠后的中小券商的差距拉大，行业集中度进一步提升，强者恒强态势将进一步延续。</w:t>
      </w:r>
    </w:p>
    <w:p>
      <w:pPr>
        <w:pStyle w:val="3"/>
        <w:bidi w:val="0"/>
        <w:ind w:firstLine="241" w:firstLineChars="100"/>
        <w:rPr>
          <w:rFonts w:hint="eastAsia"/>
          <w:color w:val="auto"/>
          <w:lang w:val="en-US" w:eastAsia="zh-CN"/>
        </w:rPr>
      </w:pPr>
      <w:bookmarkStart w:id="11" w:name="_Toc16630"/>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李超副主席在中国REITs论坛2021年会上的致辞（7月24日发布）</w:t>
      </w:r>
      <w:bookmarkEnd w:id="11"/>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一是凝聚共识，发挥合力，试点工作正式启航。试点项目涵盖产业园区、高速公路、污水处理等多种资产类型，募集资金重点用于科技创新、绿色发展和民生等补短板领域。</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二是夯实基础，立足长远，推动市场健康发展。完善制度规则，强化政策支持；把握特点规律，完善监管机制；紧扣国家战略，聚焦优质项目；立足长远发展，推动专项立法。</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三是尊重规律，完善制度，稳步推进试点工作。坚持市场化法治化，稳定市场预期；加强市场体系建设，构建良好生态；压实中介机构责任，规范市场发展；探索新型治理机制，增强治理效应。</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十四五”规划和纲要中的一项重要部署就是推动基础设施REITs健康发展，形成存量资产和新增投资的良性循环。李超副主席指出，试点项目的成功落地，标志着我国公募REITs市场建设迈出关键一步。同时，应当关注的是，随着市场化法治化的建立健全和市场体系的建设完善，中介机构责任也将不断压实。</w:t>
      </w:r>
    </w:p>
    <w:p>
      <w:pPr>
        <w:pStyle w:val="3"/>
        <w:bidi w:val="0"/>
        <w:ind w:firstLine="241" w:firstLineChars="100"/>
        <w:rPr>
          <w:rFonts w:hint="eastAsia"/>
          <w:color w:val="auto"/>
          <w:lang w:val="en-US" w:eastAsia="zh-CN"/>
        </w:rPr>
      </w:pPr>
      <w:bookmarkStart w:id="12" w:name="_Toc30848"/>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上交所通报2021年上半年纪律处分工作情况（7月23日发布）</w:t>
      </w:r>
      <w:bookmarkEnd w:id="12"/>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落实“零容忍”：依规处理信息披露违规行为。2021年上半年，恶性违规数量平稳，轻微违规有所集中，责任区分愈加精准，强调突出“关键少数”。另外，持续压严压实中介机构责任，督促其切实履行“看门人”职责。</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践行“三及时”：切实提高案件处理效率。及时发现、及时制止、及时处理是一线信息披露监管的主要职责。针对市场关注度高、反响强烈的案件，及时处置重大违规，快速修复市场秩序；优化案件处理程序，因案制宜特案快处；重要案件及时发声，积极回应市场预期。</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三是致力“精准性”：持续提升监管执法效能。强化“精准监管、科学问责”，以“宽严相济”作为指导原则，丰富监管手段、优化工作机制，充分落实提高违法违规成本的要求，进一步提高监管执法效能。</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当前资本市场违法违规行为已呈现出违法手段多样、隐秘性强、案件敏感复杂等特征，交易所作为自律监管部门以纪律处分为主要方式发挥其规范指引功能。同时，我国金融市场已处于注册制改革的进行时，交易所明确“零容忍”的监管态度，以纪律处分为重要抓手，落实“三及时”“精准监管”等要求，为规范公司治理、提高上市公司质量提供保障。</w:t>
      </w:r>
    </w:p>
    <w:p>
      <w:pPr>
        <w:pStyle w:val="3"/>
        <w:bidi w:val="0"/>
        <w:ind w:firstLine="241" w:firstLineChars="100"/>
        <w:rPr>
          <w:rFonts w:hint="eastAsia"/>
          <w:color w:val="auto"/>
          <w:lang w:val="en-US" w:eastAsia="zh-CN"/>
        </w:rPr>
      </w:pPr>
      <w:bookmarkStart w:id="13" w:name="_Toc16208"/>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国家外汇管理局召开2021年下半年外汇管理工作电视会议（7月26日发布）</w:t>
      </w:r>
      <w:bookmarkEnd w:id="13"/>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一是坚定不移推动外汇领域改革开放。进一步扩大贸易外汇收支便利化、私募股权投资基金跨境投资等便利化试点范围。积极支持外贸新业态新模式发展，持续推进个人外汇业务便利化。支持区域开放创新。</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完善外汇市场“宏观审慎+微观监管”两位一体管理框架。改善跨境资本流动管理，完善外汇市场微观监管。探索建立以事前尽调、事中监测、事后抽查，实质审核和尽职免责为主的真实性审核管理机制。严厉打击地下钱庄、跨境赌博等外汇领域违法违规活动。</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三是深化“放管服”改革。持续精简行政许可事项，规范行政许可事项办理，推动更多外汇业务“网上办”，提高“互联网+政务服务”水平。</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在外汇领域改革开放方面，资本项目可兑换是市场关注的“重头戏”，其重要举措之一在于推进私募股权投资基金跨境投资改革，扩大合格境内有限合伙人（QDLP）试点和合格境外有限合伙人（QFLP）的试点推广工作，包括增加试点数量、拓宽相关基金的投资范围等。</w:t>
      </w:r>
    </w:p>
    <w:p>
      <w:pPr>
        <w:pStyle w:val="3"/>
        <w:bidi w:val="0"/>
        <w:ind w:firstLine="241" w:firstLineChars="100"/>
        <w:rPr>
          <w:rFonts w:hint="eastAsia"/>
          <w:color w:val="auto"/>
          <w:lang w:val="en-US" w:eastAsia="zh-CN"/>
        </w:rPr>
      </w:pPr>
      <w:bookmarkStart w:id="14" w:name="_Toc23820"/>
      <w:r>
        <w:rPr>
          <w:rFonts w:hint="eastAsia" w:ascii="仿宋_GB2312" w:hAnsi="仿宋_GB2312" w:eastAsia="仿宋_GB2312" w:cs="仿宋_GB2312"/>
          <w:bCs/>
          <w:color w:val="auto"/>
          <w:sz w:val="24"/>
          <w:szCs w:val="24"/>
          <w:lang w:val="en-US" w:eastAsia="zh-CN"/>
        </w:rPr>
        <w:t>▶</w:t>
      </w:r>
      <w:r>
        <w:rPr>
          <w:rFonts w:hint="eastAsia"/>
          <w:color w:val="auto"/>
          <w:lang w:val="en-US" w:eastAsia="zh-CN"/>
        </w:rPr>
        <w:t xml:space="preserve"> 中国人民银行召开2021年下半年工作会议（7月31日发布）</w:t>
      </w:r>
      <w:bookmarkEnd w:id="14"/>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一是稳健的货币政策保持了连续性、稳定性、可持续性，为经济稳定恢复提供了有力支持。综合运用公开市场操作、中期借贷便利、存款准备金率等货币政策工具，保持流动性合理充裕等。</w:t>
      </w:r>
    </w:p>
    <w:p>
      <w:pPr>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二是绿色金融体系加快发展。研究设立碳减排支持工具，发布新版绿色债券支持项目目录，建立与碳达峰碳中和目标激励相容的评价机制，完善银行业金融机构绿色金融评价。</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三是扎实做好防范化解金融风险各项工作。国务院金融委防范化解重大金融风险问责办法、债券市场“逃废债”等重大违法违规事件通报制度落地。</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四是宏观审慎管理工作取得新进展。《系统重要性银行附加监管规定（试行）》完成公开征求意见，研究拟定系统重要性银行名单，出台房地产贷款集中度管理制度。</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是有效加强国际宏观政策协调，有序扩大金融业对外开放。主动推进绿色金融国际合作，深入参与全球经济和气候治理，并全面参与《区域全面经济伙伴关系协定》（RCEP）生效实施工作，系统梳理金融服务负面清单等。</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六是深化重点领域金融改革。持续稳慎推进人民币国际化，完善跨境人民币业务政策，推进跨境人民币业务创新。</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七是推动平台企业金融业务规范发展，严厉打击虚拟货币非法活动。约谈并督促从事金融业务的头部平台企业，深入开展自查和整改。</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八是金融立法、服务和管理各项工作取得新的突破。一批重大立法项目取得积极进展，《征信业务管理办法》《反洗钱法（修订草案）》等广泛征求意见，《金融消费者权益保护实施办法》全面实施等。</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我国经济运行稳中加固、稳中向好的同时，也面临着复杂严峻的经济金融形势。在防范化解金融风险方面，本次会议提到的两大新进展值得市场关注：九家“明天系”金融机构被延长接管期限，相关风险处置工作继续进行，目前这九家机构的清产核资工作已全部完成；防范化解重大金融风险问责办法和债券市场“逃废债”等通报制度落地，这有利于及时处置金融风险，防范局部金融风险暴露波及到更大范围。</w:t>
      </w:r>
    </w:p>
    <w:p>
      <w:pPr>
        <w:pStyle w:val="2"/>
        <w:bidi w:val="0"/>
        <w:rPr>
          <w:rFonts w:hint="eastAsia"/>
          <w:color w:val="C00000"/>
          <w:lang w:val="en-US" w:eastAsia="zh-CN"/>
        </w:rPr>
      </w:pPr>
      <w:bookmarkStart w:id="15" w:name="_Toc15873"/>
      <w:r>
        <w:rPr>
          <w:rFonts w:hint="eastAsia" w:ascii="仿宋_GB2312" w:hAnsi="仿宋_GB2312" w:eastAsia="仿宋_GB2312" w:cs="仿宋_GB2312"/>
          <w:b/>
          <w:bCs/>
          <w:color w:val="C00000"/>
          <w:sz w:val="28"/>
          <w:szCs w:val="28"/>
          <w:lang w:val="en-US" w:eastAsia="zh-CN"/>
        </w:rPr>
        <w:t xml:space="preserve">◆ </w:t>
      </w:r>
      <w:r>
        <w:rPr>
          <w:rFonts w:hint="eastAsia"/>
          <w:color w:val="C00000"/>
          <w:lang w:val="en-US" w:eastAsia="zh-CN"/>
        </w:rPr>
        <w:t>协会动态</w:t>
      </w:r>
      <w:bookmarkEnd w:id="15"/>
    </w:p>
    <w:p>
      <w:pPr>
        <w:pStyle w:val="3"/>
        <w:bidi w:val="0"/>
        <w:ind w:firstLine="482" w:firstLineChars="200"/>
        <w:rPr>
          <w:rFonts w:hint="eastAsia"/>
          <w:color w:val="auto"/>
          <w:lang w:val="en-US" w:eastAsia="zh-CN"/>
        </w:rPr>
      </w:pPr>
      <w:bookmarkStart w:id="16" w:name="_Toc31379"/>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2021年河南上市公司董事高管培训班成功举办</w:t>
      </w:r>
      <w:bookmarkEnd w:id="16"/>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为进一步增强河南上市公司董事高管的执业能力，加强其对公司治理规则的学习与认识，7月9日—10日，在河南证监局指导下，河南上市公司协会举办了2021年河南上市公司董事高管培训班。来自全省62家上市公司董事、高管人员等270余人参加了本期培训。</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期培训的内容，主要包括《上市公司治理准则》解读、公司治理中“关键少数”究竟做什么、公司治理优秀公司经验分享、“战略视角：跨越周期的增长考量与策略”，分别邀请了中国证监会上市部、河南证监局、上市公司董事和实务界的相关负责人和专家前来授课。河南上市公司协会执行副会长兼秘书长康红仲主持了本期培训。</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中国证监会上市部监管六处理明佳老师解读《上市公司治理准则》。理老师讲解了《上市公司治理准则》规则体系、发展历程和实践意义，并对准则的各章节要点和落实要求结合相关典型案例进行了逐一解析，授课内容系统全面、深入细致。</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河南证监局公司检查处刘金宝老师结合监管实践，对辖区上市公司治理方面存在的问题和应当改进的方面进行了梳理，贴合公司实际，有利于与会“关键少数”更好地履职。</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许继电气董事檀国彪、宇通客车董事兼董秘于莉，分别分享了各自公司在公司治理方面的经验做法。“用身边事教育身边人”，两家公司的现身说法，对于其他公司起到了非常好的激励作用。</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政府特聘顾问、矽亚投资CEO张兰丁老师结合“战略视角：跨越周期的增长考量与策略”主题，从战略角度对于公司如何跨越周期实现真实增长提出了应对策略和建议。</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2021年6月30日，《河南上市公司高管培训工作制度》发布，开始实施上市公司“关键少数”人员分层分类培训。这是制度发布以来的第一期分层分类培训。本期培训内容丰富，规则和案例兼备，理论和实践并重。为巩固学习成果，结合河南上市公司高管日常学习题库和现场授课内容，培训结束前安排了应知应会测试。</w:t>
      </w:r>
    </w:p>
    <w:p>
      <w:pPr>
        <w:pStyle w:val="2"/>
        <w:bidi w:val="0"/>
        <w:rPr>
          <w:rFonts w:hint="default"/>
          <w:color w:val="C00000"/>
          <w:lang w:val="en-US" w:eastAsia="zh-CN"/>
        </w:rPr>
      </w:pPr>
      <w:bookmarkStart w:id="17" w:name="_Toc15550"/>
      <w:r>
        <w:rPr>
          <w:rFonts w:hint="eastAsia"/>
          <w:color w:val="C00000"/>
          <w:lang w:val="en-US" w:eastAsia="zh-CN"/>
        </w:rPr>
        <w:t>◆ 辖区上市公司资本运作概要</w:t>
      </w:r>
      <w:bookmarkEnd w:id="17"/>
    </w:p>
    <w:p>
      <w:pPr>
        <w:pStyle w:val="3"/>
        <w:bidi w:val="0"/>
        <w:ind w:firstLine="482" w:firstLineChars="200"/>
        <w:rPr>
          <w:rFonts w:hint="default"/>
          <w:color w:val="auto"/>
          <w:lang w:val="en-US" w:eastAsia="zh-CN"/>
        </w:rPr>
      </w:pPr>
      <w:bookmarkStart w:id="18" w:name="_Toc3083"/>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中航光电：</w:t>
      </w:r>
      <w:r>
        <w:rPr>
          <w:rFonts w:hint="default"/>
          <w:color w:val="auto"/>
          <w:lang w:val="en-US" w:eastAsia="zh-CN"/>
        </w:rPr>
        <w:t>非公开预案</w:t>
      </w:r>
      <w:r>
        <w:rPr>
          <w:rFonts w:hint="eastAsia"/>
          <w:color w:val="auto"/>
          <w:lang w:val="en-US" w:eastAsia="zh-CN"/>
        </w:rPr>
        <w:t>（</w:t>
      </w:r>
      <w:r>
        <w:rPr>
          <w:rFonts w:hint="default"/>
          <w:color w:val="auto"/>
          <w:lang w:val="en-US" w:eastAsia="zh-CN"/>
        </w:rPr>
        <w:t>2021-07-10 董事会-公告预案</w:t>
      </w:r>
      <w:r>
        <w:rPr>
          <w:rFonts w:hint="eastAsia"/>
          <w:color w:val="auto"/>
          <w:lang w:val="en-US" w:eastAsia="zh-CN"/>
        </w:rPr>
        <w:t>）</w:t>
      </w:r>
      <w:bookmarkEnd w:id="18"/>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1.方案概述</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  本次非公开是公司为了丰富及扩大产品布局，提升公司持续盈利能力，持续扩大产能，巩固防务领域优势地位，优化资产负债结构，增强公司资本实力的重大举措，向包括中航科工、中航产投在内的不超过35名（含35名）特定投资者发行，发行数量不超过329,983,515股（含本数），募集资金总额不超过340,000.00万元（含本数），扣除发行费用后，拟全部用于以下项目：中航光电（广东）有限公司华南产业基地项目、中航光电基础器件产业园项目（一期）、补充流动资金。</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2.非公开发行目的</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补充流动资金,募投项目建设</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3.发行股票种类</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普通股A股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4.认购方式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现金认购</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5.定价原则</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竞价</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6.定价基准日&amp;发行价格</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发行期首日</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备注：本次发行的定价基准日为公司本次非公开发行股票的发行期首日，发行价格不低于定价基准日前20个交易日股票交易均价的80%。</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7.拟募集资金总额</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340,000.00万人民币</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8.拟发行股份数量上限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32,998.35万股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9.本次非公开发行决议有效期</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自股东大会审议通过之日起12个月</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10.中国证监会批复文件有效期</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自证监会批复之日起12个月内有效</w:t>
      </w:r>
    </w:p>
    <w:p>
      <w:pPr>
        <w:pStyle w:val="3"/>
        <w:bidi w:val="0"/>
        <w:ind w:firstLine="482" w:firstLineChars="200"/>
        <w:rPr>
          <w:rFonts w:hint="default"/>
          <w:color w:val="auto"/>
          <w:lang w:val="en-US" w:eastAsia="zh-CN"/>
        </w:rPr>
      </w:pPr>
      <w:bookmarkStart w:id="19" w:name="_Toc9320"/>
      <w:r>
        <w:rPr>
          <w:rFonts w:hint="eastAsia" w:ascii="仿宋_GB2312" w:hAnsi="仿宋_GB2312" w:eastAsia="仿宋_GB2312" w:cs="仿宋_GB2312"/>
          <w:bCs/>
          <w:color w:val="auto"/>
          <w:sz w:val="24"/>
          <w:szCs w:val="24"/>
          <w:lang w:val="en-US" w:eastAsia="zh-CN"/>
        </w:rPr>
        <w:t xml:space="preserve">▶ </w:t>
      </w:r>
      <w:r>
        <w:rPr>
          <w:rFonts w:hint="default"/>
          <w:color w:val="auto"/>
          <w:lang w:val="en-US" w:eastAsia="zh-CN"/>
        </w:rPr>
        <w:t>安彩高科</w:t>
      </w:r>
      <w:r>
        <w:rPr>
          <w:rFonts w:hint="eastAsia"/>
          <w:color w:val="auto"/>
          <w:lang w:val="en-US" w:eastAsia="zh-CN"/>
        </w:rPr>
        <w:t>：</w:t>
      </w:r>
      <w:r>
        <w:rPr>
          <w:rFonts w:hint="default"/>
          <w:color w:val="auto"/>
          <w:lang w:val="en-US" w:eastAsia="zh-CN"/>
        </w:rPr>
        <w:t>非公开预案</w:t>
      </w:r>
      <w:r>
        <w:rPr>
          <w:rFonts w:hint="eastAsia"/>
          <w:color w:val="auto"/>
          <w:lang w:val="en-US" w:eastAsia="zh-CN"/>
        </w:rPr>
        <w:t>（</w:t>
      </w:r>
      <w:r>
        <w:rPr>
          <w:rFonts w:hint="default"/>
          <w:color w:val="auto"/>
          <w:lang w:val="en-US" w:eastAsia="zh-CN"/>
        </w:rPr>
        <w:t>2021-07-14 董事会-公告预案</w:t>
      </w:r>
      <w:r>
        <w:rPr>
          <w:rFonts w:hint="eastAsia"/>
          <w:color w:val="auto"/>
          <w:lang w:val="en-US" w:eastAsia="zh-CN"/>
        </w:rPr>
        <w:t>）</w:t>
      </w:r>
      <w:bookmarkEnd w:id="19"/>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1.方案概述</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  本次非公开是公司为了扩大生产规模，提升产品供应能力及市场竞争力，提升公司资金实力，满足公司营运资金需求的重大举措，发行对象为包括河南投资集团在内的不超过35名（含35名）特定投资者，发行股票数量不超过258,880,000股（含本数），拟募集资金总金额不超过120,000.00万元（含本数），扣除相关发行费用后，将用于以下项目：年产4,800万平方米光伏轻质基板项目、补充流动资金。</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2.非公开发行目的</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补充流动资金,募投项目建设</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3.发行股票种类</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普通股A股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4.认购方式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现金认购</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5.定价原则</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竞价</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6.定价基准日&amp;发行价格</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发行期首日</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备注：本次非公开发行定价基准日为公司关于本次非公开发行股票的发行期首日，发行价格不低于定价基准日前20个交易日公司股票均价的80%，且不低于发行前公司最近一期末经审计的归属于母公司普通股股东的每股净资产值。</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7.拟募集资金总额</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120,000.00万人民币</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8.拟发行股份数量上限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25,888.00万股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9.本次非公开发行决议有效期</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自股东大会审议通过之日起12个月</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10.中国证监会批复文件有效期</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自证监会批复之日起12个月内有效</w:t>
      </w:r>
    </w:p>
    <w:p>
      <w:pPr>
        <w:pStyle w:val="3"/>
        <w:bidi w:val="0"/>
        <w:ind w:firstLine="482" w:firstLineChars="200"/>
        <w:rPr>
          <w:rFonts w:hint="default"/>
          <w:color w:val="auto"/>
          <w:lang w:val="en-US" w:eastAsia="zh-CN"/>
        </w:rPr>
      </w:pPr>
      <w:bookmarkStart w:id="20" w:name="_Toc12657"/>
      <w:r>
        <w:rPr>
          <w:rFonts w:hint="eastAsia" w:ascii="仿宋_GB2312" w:hAnsi="仿宋_GB2312" w:eastAsia="仿宋_GB2312" w:cs="仿宋_GB2312"/>
          <w:bCs/>
          <w:color w:val="auto"/>
          <w:sz w:val="24"/>
          <w:szCs w:val="24"/>
          <w:lang w:val="en-US" w:eastAsia="zh-CN"/>
        </w:rPr>
        <w:t xml:space="preserve">▶ </w:t>
      </w:r>
      <w:r>
        <w:rPr>
          <w:rFonts w:hint="default"/>
          <w:color w:val="auto"/>
          <w:lang w:val="en-US" w:eastAsia="zh-CN"/>
        </w:rPr>
        <w:t>洛阳钼业拟以80,000万元回购A股股份</w:t>
      </w:r>
      <w:r>
        <w:rPr>
          <w:rFonts w:hint="eastAsia"/>
          <w:color w:val="auto"/>
          <w:lang w:val="en-US" w:eastAsia="zh-CN"/>
        </w:rPr>
        <w:t>（</w:t>
      </w:r>
      <w:r>
        <w:rPr>
          <w:rFonts w:hint="default"/>
          <w:color w:val="auto"/>
          <w:lang w:val="en-US" w:eastAsia="zh-CN"/>
        </w:rPr>
        <w:t>2021-07-14</w:t>
      </w:r>
      <w:r>
        <w:rPr>
          <w:rFonts w:hint="eastAsia"/>
          <w:color w:val="auto"/>
          <w:lang w:val="en-US" w:eastAsia="zh-CN"/>
        </w:rPr>
        <w:t>公告）</w:t>
      </w:r>
      <w:bookmarkEnd w:id="20"/>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1.回购目的及用途</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用于员工持股计划,股权激励</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为建立公司、股东、核心骨干员工之间风险共担、利益共享的长效机制,公司拟回购部分公司A股股份,后续拟用于员工持股或股权激励计划。实施员工持股或股权激励计划相关方案及详细内容,由公司另行拟定并提请董事会、股东大会审批。若公司未能实施上述计划,则公司回购的股份将依法予以注销。</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2.回购股份的方式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集中竞价方式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3.回购股份的价格区间、定价原则</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不超过8元/股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根据相关法律法规规定，并结合近期公司股价，本次回购价格上限拟不超过8元/股。前述回购价格亦需满足有关法律法规对回购价格的相关要求，在回购启动后视二级市场股票价格情况并结合公司财务状况和经营状况确定。若公司在回购期限内发生送股、资本公积转增股本、股份拆细、缩股、配股或现金分红等事宜，自股价除权、除息之日起，相应调整回购价格上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4.回购股份的种类、数量、占总股本比例收起</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无限售条件的A股流通股5,000万股～10,000万股0.23%～0.46%</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本次回购股份的种类为公司发行的人民币普通股（A股）。公司拟使用不超过人民币8亿元的自有资金，以不超过人民币8元/股的价格回购公司股份，回购股份数量不低于5,000万股，不超过1亿股，占公司回购前已发行总股本（公司已发行总股本为21,599,240,583股）比例约为0.23%-0.46%。本次回购数量未超过公司已发行股份总额的10%，具体回购股份的数量及占总股本的比例以回购期限届满时实际回购的股份数量为准。</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5.回购股份的资金总额及资金来源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自有资金不超过80,000万元</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本次回购资金总额预计为不超过人民币8亿元（含），资金来源为公司自有资金。</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6.回购股份的实施期限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自董事会审议通过最终回购股份方案之日起不超过十二个月自2021-07-13至2022-07-12</w:t>
      </w:r>
    </w:p>
    <w:p>
      <w:pPr>
        <w:pStyle w:val="3"/>
        <w:bidi w:val="0"/>
        <w:ind w:firstLine="482" w:firstLineChars="200"/>
        <w:rPr>
          <w:rFonts w:hint="default"/>
          <w:color w:val="auto"/>
          <w:lang w:val="en-US" w:eastAsia="zh-CN"/>
        </w:rPr>
      </w:pPr>
      <w:bookmarkStart w:id="21" w:name="_Toc3369"/>
      <w:r>
        <w:rPr>
          <w:rFonts w:hint="eastAsia" w:ascii="仿宋_GB2312" w:hAnsi="仿宋_GB2312" w:eastAsia="仿宋_GB2312" w:cs="仿宋_GB2312"/>
          <w:bCs/>
          <w:color w:val="auto"/>
          <w:sz w:val="24"/>
          <w:szCs w:val="24"/>
          <w:lang w:val="en-US" w:eastAsia="zh-CN"/>
        </w:rPr>
        <w:t xml:space="preserve">▶ </w:t>
      </w:r>
      <w:r>
        <w:rPr>
          <w:rFonts w:hint="default"/>
          <w:color w:val="auto"/>
          <w:lang w:val="en-US" w:eastAsia="zh-CN"/>
        </w:rPr>
        <w:t>多氟多拟以15,900万元回购A股股份</w:t>
      </w:r>
      <w:r>
        <w:rPr>
          <w:rFonts w:hint="eastAsia"/>
          <w:color w:val="auto"/>
          <w:lang w:val="en-US" w:eastAsia="zh-CN"/>
        </w:rPr>
        <w:t>（</w:t>
      </w:r>
      <w:r>
        <w:rPr>
          <w:rFonts w:hint="default"/>
          <w:color w:val="auto"/>
          <w:lang w:val="en-US" w:eastAsia="zh-CN"/>
        </w:rPr>
        <w:t>2021-07-17</w:t>
      </w:r>
      <w:r>
        <w:rPr>
          <w:rFonts w:hint="eastAsia"/>
          <w:color w:val="auto"/>
          <w:lang w:val="en-US" w:eastAsia="zh-CN"/>
        </w:rPr>
        <w:t>公告）</w:t>
      </w:r>
      <w:bookmarkEnd w:id="21"/>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1.回购目的及用途</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用于员工持股计划,股权激励</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公司基于对未来发展的信心,有效维护广大股东利益,增强投资者信心,同时结合公司的实际财务状况、经营状况等因素,拟使用自有资金以集中竞价交易方式回购公司部分社会公众股股份,回购股份将全部用于股权激励计划或员工持股计划。</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2.回购股份的方式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集中竞价方式</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3.回购股份的价格区间、定价原则</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不超过54.5元/股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本次回购股份的价格不超过54.5元/股，不超过公司董事会审议通过回购股份决议前三十个交易日公司股票交易均价的150%。实际回购价格由董事会授权公司管理层在回购实施期间结合公司股票价格、财务状况和经营状况确定。</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4.回购股份的种类、数量、占总股本比例</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无限售条件的A股流通股146.79万股～291.74万股0.19%～0.38%</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回购股份种类为公司已发行的人民币普通股（A股）。按回购资金总额上限15,900万元人民币，回购股份价格54.5元/股测算，拟回购股份数量不超过2,917,431股，不超过公司目前最新总股本766,167,589股的0.38%；按回购资金总额下限8,000万元人民币，回购股份价格54.5元/股测算，拟回购股份数量不低于1,467,890股，不低于公司目前最新总股本766,167,589股的0.19%。</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5.回购股份的资金总额及资金来源收起</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自有资金8,000万元～15,900万元</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本次回购资金总额为8,000万元-15,900万元，具体回购资金总额以实际使用的资金总额为准。本次回购股份的资金全部为公司自有资金。</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6.回购股份的实施期限</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自董事会审议通过最终回购股份方案之日起不超过六个月自2021-07-16至2022-01-15</w:t>
      </w:r>
    </w:p>
    <w:p>
      <w:pPr>
        <w:pStyle w:val="3"/>
        <w:bidi w:val="0"/>
        <w:ind w:firstLine="241" w:firstLineChars="100"/>
        <w:rPr>
          <w:rFonts w:hint="default"/>
          <w:color w:val="auto"/>
          <w:lang w:val="en-US" w:eastAsia="zh-CN"/>
        </w:rPr>
      </w:pPr>
      <w:bookmarkStart w:id="22" w:name="_Toc8700"/>
      <w:r>
        <w:rPr>
          <w:rFonts w:hint="eastAsia" w:ascii="仿宋_GB2312" w:hAnsi="仿宋_GB2312" w:eastAsia="仿宋_GB2312" w:cs="仿宋_GB2312"/>
          <w:bCs/>
          <w:sz w:val="24"/>
          <w:szCs w:val="24"/>
          <w:lang w:val="en-US" w:eastAsia="zh-CN"/>
        </w:rPr>
        <w:t xml:space="preserve">▶ </w:t>
      </w:r>
      <w:r>
        <w:rPr>
          <w:rFonts w:hint="eastAsia"/>
          <w:color w:val="auto"/>
          <w:lang w:val="en-US" w:eastAsia="zh-CN"/>
        </w:rPr>
        <w:t>濮阳惠成2021年限制性股票激励计划（</w:t>
      </w:r>
      <w:r>
        <w:rPr>
          <w:rFonts w:hint="default"/>
          <w:color w:val="auto"/>
          <w:lang w:val="en-US" w:eastAsia="zh-CN"/>
        </w:rPr>
        <w:t>2021-07-</w:t>
      </w:r>
      <w:r>
        <w:rPr>
          <w:rFonts w:hint="eastAsia"/>
          <w:color w:val="auto"/>
          <w:lang w:val="en-US" w:eastAsia="zh-CN"/>
        </w:rPr>
        <w:t>29公告）</w:t>
      </w:r>
      <w:bookmarkEnd w:id="22"/>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1.计划激励权益总数</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激励权益总数：258.13万股，占公司股份总数比例：0.88%。</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2.计划激励对象</w:t>
      </w:r>
    </w:p>
    <w:p>
      <w:p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首批激励计划人数</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252人</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占公司总人数比例</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46.58%</w:t>
      </w:r>
      <w:r>
        <w:rPr>
          <w:rFonts w:hint="eastAsia" w:ascii="仿宋_GB2312" w:hAnsi="仿宋_GB2312" w:eastAsia="仿宋_GB2312" w:cs="仿宋_GB2312"/>
          <w:b w:val="0"/>
          <w:bCs w:val="0"/>
          <w:color w:val="auto"/>
          <w:sz w:val="28"/>
          <w:szCs w:val="28"/>
          <w:lang w:val="en-US" w:eastAsia="zh-CN"/>
        </w:rPr>
        <w:t>。</w:t>
      </w:r>
    </w:p>
    <w:p>
      <w:pPr>
        <w:numPr>
          <w:ilvl w:val="0"/>
          <w:numId w:val="1"/>
        </w:numPr>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权益数量明细</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单位：万股/万份</w:t>
      </w:r>
      <w:r>
        <w:rPr>
          <w:rFonts w:hint="eastAsia" w:ascii="仿宋_GB2312" w:hAnsi="仿宋_GB2312" w:eastAsia="仿宋_GB2312" w:cs="仿宋_GB2312"/>
          <w:b w:val="0"/>
          <w:bCs w:val="0"/>
          <w:color w:val="auto"/>
          <w:sz w:val="28"/>
          <w:szCs w:val="28"/>
          <w:lang w:val="en-US"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分次授出权益</w:t>
            </w:r>
          </w:p>
        </w:tc>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授予数量（万股）</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占本次激励总数比例</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占激励时总股本比例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首次授予</w:t>
            </w:r>
          </w:p>
        </w:tc>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206.50</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80.00%</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预留授予</w:t>
            </w:r>
          </w:p>
        </w:tc>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51.63</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20.00%</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合计</w:t>
            </w:r>
          </w:p>
        </w:tc>
        <w:tc>
          <w:tcPr>
            <w:tcW w:w="2130"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258.13</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100.00%</w:t>
            </w:r>
          </w:p>
        </w:tc>
        <w:tc>
          <w:tcPr>
            <w:tcW w:w="2131" w:type="dxa"/>
          </w:tcPr>
          <w:p>
            <w:pPr>
              <w:widowControl w:val="0"/>
              <w:numPr>
                <w:ilvl w:val="0"/>
                <w:numId w:val="0"/>
              </w:numPr>
              <w:jc w:val="both"/>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0.88%</w:t>
            </w:r>
          </w:p>
        </w:tc>
      </w:tr>
    </w:tbl>
    <w:p>
      <w:pPr>
        <w:widowControl w:val="0"/>
        <w:numPr>
          <w:ilvl w:val="0"/>
          <w:numId w:val="0"/>
        </w:numPr>
        <w:jc w:val="both"/>
        <w:rPr>
          <w:rFonts w:hint="default" w:ascii="仿宋_GB2312" w:hAnsi="仿宋_GB2312" w:eastAsia="仿宋_GB2312" w:cs="仿宋_GB2312"/>
          <w:b w:val="0"/>
          <w:bCs w:val="0"/>
          <w:color w:val="auto"/>
          <w:sz w:val="28"/>
          <w:szCs w:val="28"/>
          <w:lang w:val="en-US" w:eastAsia="zh-CN"/>
        </w:rPr>
      </w:pPr>
    </w:p>
    <w:p>
      <w:pP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w:t>
      </w:r>
      <w:r>
        <w:rPr>
          <w:rFonts w:hint="default" w:ascii="仿宋_GB2312" w:hAnsi="仿宋_GB2312" w:eastAsia="仿宋_GB2312" w:cs="仿宋_GB2312"/>
          <w:b w:val="0"/>
          <w:bCs w:val="0"/>
          <w:color w:val="auto"/>
          <w:sz w:val="28"/>
          <w:szCs w:val="28"/>
          <w:lang w:val="en-US" w:eastAsia="zh-CN"/>
        </w:rPr>
        <w:t>权益概述</w:t>
      </w:r>
    </w:p>
    <w:tbl>
      <w:tblPr>
        <w:tblStyle w:val="12"/>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9"/>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授出权益</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第一类限制性股票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权益来源</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发行股份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授予价格 (元/股)</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锁定期/等待期 (月)</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解锁/行权/归属期次及安排</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val="en-US" w:eastAsia="zh-CN"/>
              </w:rPr>
              <w:t>期：</w:t>
            </w:r>
            <w:r>
              <w:rPr>
                <w:rFonts w:hint="default" w:ascii="仿宋_GB2312" w:hAnsi="仿宋_GB2312" w:eastAsia="仿宋_GB2312" w:cs="仿宋_GB2312"/>
                <w:b w:val="0"/>
                <w:bCs w:val="0"/>
                <w:color w:val="auto"/>
                <w:sz w:val="28"/>
                <w:szCs w:val="28"/>
                <w:lang w:val="en-US" w:eastAsia="zh-CN"/>
              </w:rPr>
              <w:t>40.00%</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val="en-US" w:eastAsia="zh-CN"/>
              </w:rPr>
              <w:t>期：</w:t>
            </w:r>
            <w:r>
              <w:rPr>
                <w:rFonts w:hint="default" w:ascii="仿宋_GB2312" w:hAnsi="仿宋_GB2312" w:eastAsia="仿宋_GB2312" w:cs="仿宋_GB2312"/>
                <w:b w:val="0"/>
                <w:bCs w:val="0"/>
                <w:color w:val="auto"/>
                <w:sz w:val="28"/>
                <w:szCs w:val="28"/>
                <w:lang w:val="en-US" w:eastAsia="zh-CN"/>
              </w:rPr>
              <w:t>30.00%</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val="en-US" w:eastAsia="zh-CN"/>
              </w:rPr>
              <w:t>期：</w:t>
            </w:r>
            <w:r>
              <w:rPr>
                <w:rFonts w:hint="default" w:ascii="仿宋_GB2312" w:hAnsi="仿宋_GB2312" w:eastAsia="仿宋_GB2312" w:cs="仿宋_GB2312"/>
                <w:b w:val="0"/>
                <w:bCs w:val="0"/>
                <w:color w:val="auto"/>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业绩考核指标</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计算模型</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差价计提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预估摊销成本(万元)</w:t>
            </w:r>
          </w:p>
        </w:tc>
        <w:tc>
          <w:tcPr>
            <w:tcW w:w="5205" w:type="dxa"/>
          </w:tcPr>
          <w:p>
            <w:pPr>
              <w:rPr>
                <w:rFonts w:hint="default" w:ascii="仿宋_GB2312" w:hAnsi="仿宋_GB2312" w:eastAsia="仿宋_GB2312" w:cs="仿宋_GB2312"/>
                <w:b w:val="0"/>
                <w:bCs w:val="0"/>
                <w:color w:val="auto"/>
                <w:sz w:val="28"/>
                <w:szCs w:val="28"/>
                <w:vertAlign w:val="baseline"/>
                <w:lang w:val="en-US" w:eastAsia="zh-CN"/>
              </w:rPr>
            </w:pPr>
            <w:r>
              <w:rPr>
                <w:rFonts w:hint="default" w:ascii="仿宋_GB2312" w:hAnsi="仿宋_GB2312" w:eastAsia="仿宋_GB2312" w:cs="仿宋_GB2312"/>
                <w:b w:val="0"/>
                <w:bCs w:val="0"/>
                <w:color w:val="auto"/>
                <w:sz w:val="28"/>
                <w:szCs w:val="28"/>
                <w:lang w:val="en-US" w:eastAsia="zh-CN"/>
              </w:rPr>
              <w:t>1974.14</w:t>
            </w:r>
          </w:p>
        </w:tc>
      </w:tr>
    </w:tbl>
    <w:p>
      <w:pPr>
        <w:rPr>
          <w:rFonts w:hint="eastAsia" w:ascii="仿宋_GB2312" w:hAnsi="仿宋_GB2312" w:eastAsia="仿宋_GB2312" w:cs="仿宋_GB2312"/>
          <w:b w:val="0"/>
          <w:bCs w:val="0"/>
          <w:color w:val="auto"/>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bidi w:val="0"/>
        <w:rPr>
          <w:rFonts w:hint="default"/>
          <w:color w:val="C00000"/>
          <w:lang w:val="en-US" w:eastAsia="zh-CN"/>
        </w:rPr>
      </w:pPr>
      <w:bookmarkStart w:id="23" w:name="_Toc6718"/>
      <w:r>
        <w:rPr>
          <w:rFonts w:hint="eastAsia" w:ascii="仿宋_GB2312" w:hAnsi="仿宋_GB2312" w:eastAsia="仿宋_GB2312" w:cs="仿宋_GB2312"/>
          <w:b/>
          <w:bCs w:val="0"/>
          <w:color w:val="C00000"/>
          <w:sz w:val="30"/>
          <w:szCs w:val="30"/>
          <w:lang w:val="en-US" w:eastAsia="zh-CN"/>
        </w:rPr>
        <w:t xml:space="preserve">◆ </w:t>
      </w:r>
      <w:r>
        <w:rPr>
          <w:rFonts w:hint="eastAsia"/>
          <w:color w:val="C00000"/>
          <w:lang w:val="en-US" w:eastAsia="zh-CN"/>
        </w:rPr>
        <w:t>辖区IPO（含精选层）在审项目基本情况</w:t>
      </w:r>
      <w:bookmarkEnd w:id="23"/>
    </w:p>
    <w:tbl>
      <w:tblPr>
        <w:tblStyle w:val="11"/>
        <w:tblW w:w="14760" w:type="dxa"/>
        <w:tblInd w:w="-370" w:type="dxa"/>
        <w:shd w:val="clear" w:color="auto" w:fill="auto"/>
        <w:tblLayout w:type="autofit"/>
        <w:tblCellMar>
          <w:top w:w="0" w:type="dxa"/>
          <w:left w:w="0" w:type="dxa"/>
          <w:bottom w:w="0" w:type="dxa"/>
          <w:right w:w="0" w:type="dxa"/>
        </w:tblCellMar>
      </w:tblPr>
      <w:tblGrid>
        <w:gridCol w:w="600"/>
        <w:gridCol w:w="1308"/>
        <w:gridCol w:w="1296"/>
        <w:gridCol w:w="3648"/>
        <w:gridCol w:w="1068"/>
        <w:gridCol w:w="1848"/>
        <w:gridCol w:w="1680"/>
        <w:gridCol w:w="1882"/>
        <w:gridCol w:w="1430"/>
      </w:tblGrid>
      <w:tr>
        <w:tblPrEx>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最新公告日</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首次公告日</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拟上市板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审核状态</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预计发行股数(万股)</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预计发行后总股本(万股)</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拟募集资金(万元)</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2019-05-24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2018-03-28</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洛阳众智软件科技股份有限公司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已反馈</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39,512.80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2020-12-25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2017-07-14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兰考瑞华环保电力股份有限公司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深证主板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已预披露更新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4,427.00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17,707.00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18,529.00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2020-12-31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2020-06-30</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华兰生物疫苗股份有限公司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4,001.00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40,001.00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249,502.74</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2019-01-17</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郑州速达工业机械服务股份有限公司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终止(审核不通过)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59,516.00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2019-12-06</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洛阳中超新材料股份有限公司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科创板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终止(撤回)</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91,639.29</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2019-10-24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徐辉设计股份有限公司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终止(撤回)</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55,606.92</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2019-04-08</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洛阳涧光特种装备股份有限公司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上证主板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已预披露更新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2,273.33</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9,093.33</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102,000.00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2021-04-13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2020-09-29</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想念食品股份有限公司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终止(撤回)</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14,326.20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65,828.99</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2019-08-31</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新乡拓新药业股份有限公司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报送证监会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39,545.64</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2021-06-18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2020-09-19</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麦斯克电子材料股份有限公司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2021-06-22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2019-11-14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河南皓泽电子股份有限公司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48,159.08</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2021-06-25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2018-12-20</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河南省力量钻石股份有限公司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报送证监会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6,037.20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59,149.14</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2021-06-30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2020-12-21</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中钢洛耐科技股份有限公司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科创板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中止审查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2020-04-29</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河南凯旺电子科技股份有限公司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已审核通过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2,396.00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9,582.17</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29,897.62</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2017-05-24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郑州千味央厨食品股份有限公司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深证主板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已通过发审会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8,510.41</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43,662.37</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2020-10-23</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河南科隆新能源股份有限公司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10,624.47</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53,122.34</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61,300.00</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2020-09-29</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致欧家居科技股份有限公司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4,015.00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40,150.00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148,576.55</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2020-12-31</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河南新天地药业股份有限公司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3,336.00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13,336.00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58,495.15</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2021-01-28</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郑州众智科技股份有限公司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已问询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2,908.40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11,633.60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61,266.22</w:t>
            </w: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2019-06-25</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新乡天力锂能股份有限公司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创业板</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中止审查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2021-06-30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2020-03-27</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金居建设发展股份有限公司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精选层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中止审查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18,219.63</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Calibri" w:hAnsi="Calibri" w:cs="Calibri"/>
                <w:i w:val="0"/>
                <w:color w:val="000000"/>
                <w:sz w:val="24"/>
                <w:szCs w:val="24"/>
                <w:u w:val="none"/>
              </w:rPr>
            </w:pP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2021-03-23</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商丘市鼎丰木业股份有限公司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精选层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已受理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Calibri" w:hAnsi="Calibri" w:cs="Calibri"/>
                <w:i w:val="0"/>
                <w:color w:val="000000"/>
                <w:sz w:val="24"/>
                <w:szCs w:val="24"/>
                <w:u w:val="none"/>
              </w:rPr>
            </w:pP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2020-12-04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河南同心传动股份有限公司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精选层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中止审查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2,875.00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Calibri" w:hAnsi="Calibri" w:cs="Calibri"/>
                <w:i w:val="0"/>
                <w:color w:val="000000"/>
                <w:sz w:val="24"/>
                <w:szCs w:val="24"/>
                <w:u w:val="none"/>
              </w:rPr>
            </w:pPr>
          </w:p>
        </w:tc>
      </w:tr>
      <w:tr>
        <w:tblPrEx>
          <w:tblCellMar>
            <w:top w:w="0" w:type="dxa"/>
            <w:left w:w="0" w:type="dxa"/>
            <w:bottom w:w="0" w:type="dxa"/>
            <w:right w:w="0"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2020-08-04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洛阳科创新材料股份有限公司</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精选层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中止审查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8,300.00</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Calibri" w:hAnsi="Calibri" w:cs="Calibri"/>
                <w:i w:val="0"/>
                <w:color w:val="000000"/>
                <w:sz w:val="24"/>
                <w:szCs w:val="24"/>
                <w:u w:val="none"/>
              </w:rPr>
            </w:pPr>
          </w:p>
        </w:tc>
      </w:tr>
    </w:tbl>
    <w:p>
      <w:pPr>
        <w:pStyle w:val="2"/>
        <w:bidi w:val="0"/>
        <w:rPr>
          <w:rFonts w:hint="default" w:ascii="仿宋_GB2312" w:hAnsi="仿宋_GB2312" w:eastAsia="仿宋_GB2312" w:cs="仿宋_GB2312"/>
          <w:b w:val="0"/>
          <w:bCs w:val="0"/>
          <w:color w:val="auto"/>
          <w:kern w:val="2"/>
          <w:sz w:val="28"/>
          <w:szCs w:val="28"/>
          <w:lang w:val="en-US" w:eastAsia="zh-CN" w:bidi="ar-SA"/>
        </w:rPr>
      </w:pPr>
    </w:p>
    <w:p>
      <w:pPr>
        <w:pStyle w:val="2"/>
        <w:bidi w:val="0"/>
        <w:rPr>
          <w:rFonts w:hint="eastAsia"/>
          <w:color w:val="C00000"/>
          <w:lang w:val="en-US" w:eastAsia="zh-CN"/>
        </w:rPr>
      </w:pPr>
      <w:bookmarkStart w:id="24" w:name="_Toc16693"/>
      <w:r>
        <w:rPr>
          <w:rFonts w:hint="eastAsia" w:ascii="仿宋_GB2312" w:hAnsi="仿宋_GB2312" w:eastAsia="仿宋_GB2312" w:cs="仿宋_GB2312"/>
          <w:b/>
          <w:bCs/>
          <w:color w:val="C00000"/>
          <w:sz w:val="28"/>
          <w:szCs w:val="28"/>
          <w:lang w:val="en-US" w:eastAsia="zh-CN"/>
        </w:rPr>
        <w:t xml:space="preserve">◆ </w:t>
      </w:r>
      <w:r>
        <w:rPr>
          <w:rFonts w:hint="eastAsia"/>
          <w:color w:val="C00000"/>
          <w:lang w:val="en-US" w:eastAsia="zh-CN"/>
        </w:rPr>
        <w:t>违规案例</w:t>
      </w:r>
      <w:bookmarkEnd w:id="24"/>
    </w:p>
    <w:p>
      <w:pPr>
        <w:pStyle w:val="3"/>
        <w:bidi w:val="0"/>
        <w:ind w:firstLine="482" w:firstLineChars="200"/>
        <w:rPr>
          <w:rFonts w:hint="default"/>
          <w:color w:val="auto"/>
          <w:lang w:val="en-US" w:eastAsia="zh-CN"/>
        </w:rPr>
      </w:pPr>
      <w:bookmarkStart w:id="25" w:name="_Toc16717"/>
      <w:r>
        <w:rPr>
          <w:rFonts w:hint="eastAsia" w:ascii="仿宋_GB2312" w:hAnsi="仿宋_GB2312" w:eastAsia="仿宋_GB2312" w:cs="仿宋_GB2312"/>
          <w:bCs/>
          <w:color w:val="auto"/>
          <w:sz w:val="24"/>
          <w:szCs w:val="24"/>
          <w:lang w:val="en-US" w:eastAsia="zh-CN"/>
        </w:rPr>
        <w:t xml:space="preserve">▶ </w:t>
      </w:r>
      <w:r>
        <w:rPr>
          <w:rFonts w:hint="default"/>
          <w:color w:val="auto"/>
          <w:lang w:val="en-US" w:eastAsia="zh-CN"/>
        </w:rPr>
        <w:t>2021年7月1日至7月</w:t>
      </w:r>
      <w:r>
        <w:rPr>
          <w:rFonts w:hint="eastAsia"/>
          <w:color w:val="auto"/>
          <w:lang w:val="en-US" w:eastAsia="zh-CN"/>
        </w:rPr>
        <w:t>31</w:t>
      </w:r>
      <w:r>
        <w:rPr>
          <w:rFonts w:hint="default"/>
          <w:color w:val="auto"/>
          <w:lang w:val="en-US" w:eastAsia="zh-CN"/>
        </w:rPr>
        <w:t>日，中国证监会及其派出机构对市场主体采取行政监管措施、处以行政处罚、市场禁入情况一览表</w:t>
      </w:r>
      <w:r>
        <w:rPr>
          <w:rFonts w:hint="eastAsia"/>
          <w:color w:val="auto"/>
          <w:lang w:val="en-US" w:eastAsia="zh-CN"/>
        </w:rPr>
        <w:t>(共计90个）</w:t>
      </w:r>
      <w:r>
        <w:rPr>
          <w:rFonts w:hint="default"/>
          <w:color w:val="auto"/>
          <w:lang w:val="en-US" w:eastAsia="zh-CN"/>
        </w:rPr>
        <w:t>：</w:t>
      </w:r>
      <w:bookmarkEnd w:id="25"/>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说明：</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从违规类型上看，7月份上市公司的违规类型主要包括公司信息披露违规、业绩预告（快报）公告违规、特定重大事项披露违规、证券交易类违规、公司运作治理违规、财务类违规、公司回购事项违规、立案调查及其他。</w:t>
      </w:r>
    </w:p>
    <w:p>
      <w:pPr>
        <w:ind w:firstLine="56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从地域分布来看，7月份分布情况如下：江苏（16个）、广东（11个）、浙江（9个）、北京（8个）、深圳（5个）、上海（5个）、湖北（4个）、新疆（3个）、山东（3个）、宁夏（3个）、甘肃（3个）、湖南（3个）、河北（3个）、云南（2个）、重庆（2个）、安徽（2个）、河南（2个）、辽宁（2个）、黑龙江（1个）、广西（1个）、福建（1个）、四川（1个）。其中，河南辖区2个分别是：中原证券（因内部控制制度存在重大缺陷被出具警示函）、黄河旋风（因限制期买卖股票、超比例违规增持、股份增持披露不规范被监管谈话）。</w:t>
      </w:r>
    </w:p>
    <w:tbl>
      <w:tblPr>
        <w:tblStyle w:val="11"/>
        <w:tblpPr w:leftFromText="180" w:rightFromText="180" w:vertAnchor="text" w:horzAnchor="page" w:tblpX="1034" w:tblpY="505"/>
        <w:tblOverlap w:val="never"/>
        <w:tblW w:w="14808" w:type="dxa"/>
        <w:tblInd w:w="0" w:type="dxa"/>
        <w:shd w:val="clear" w:color="auto" w:fill="auto"/>
        <w:tblLayout w:type="autofit"/>
        <w:tblCellMar>
          <w:top w:w="0" w:type="dxa"/>
          <w:left w:w="0" w:type="dxa"/>
          <w:bottom w:w="0" w:type="dxa"/>
          <w:right w:w="0" w:type="dxa"/>
        </w:tblCellMar>
      </w:tblPr>
      <w:tblGrid>
        <w:gridCol w:w="521"/>
        <w:gridCol w:w="1320"/>
        <w:gridCol w:w="2803"/>
        <w:gridCol w:w="984"/>
        <w:gridCol w:w="2700"/>
        <w:gridCol w:w="1056"/>
        <w:gridCol w:w="2328"/>
        <w:gridCol w:w="1884"/>
        <w:gridCol w:w="1212"/>
      </w:tblGrid>
      <w:tr>
        <w:tblPrEx>
          <w:shd w:val="clear" w:color="auto" w:fill="auto"/>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处罚日期</w:t>
            </w:r>
          </w:p>
        </w:tc>
        <w:tc>
          <w:tcPr>
            <w:tcW w:w="2803"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违规类型</w:t>
            </w:r>
          </w:p>
        </w:tc>
        <w:tc>
          <w:tcPr>
            <w:tcW w:w="984"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公司简称</w:t>
            </w:r>
          </w:p>
        </w:tc>
        <w:tc>
          <w:tcPr>
            <w:tcW w:w="2700"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案例标题</w:t>
            </w:r>
          </w:p>
        </w:tc>
        <w:tc>
          <w:tcPr>
            <w:tcW w:w="1056"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所在地区</w:t>
            </w:r>
          </w:p>
        </w:tc>
        <w:tc>
          <w:tcPr>
            <w:tcW w:w="2328"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处罚对象</w:t>
            </w:r>
          </w:p>
        </w:tc>
        <w:tc>
          <w:tcPr>
            <w:tcW w:w="1884"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处罚对象身份</w:t>
            </w:r>
          </w:p>
        </w:tc>
        <w:tc>
          <w:tcPr>
            <w:tcW w:w="1212"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处罚类型</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沃森生物</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关于对云南沃森生物技术股份有限公司采取责令改正措施的决定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云南沃森生物技术股份有限公司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提供担保不规范,未按规定提交董事会审议,未按规定提交股东大会审议,信息披露不真实,未及时披露临时公告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合康新能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关于对北京合康新能科技股份有限公司、叶进吾采取出具警示函行政监管措施的决定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北京合康新能科技股份有限公司、叶进吾</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公司本身,实际控制人,时任董事长,时任总经理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威龙股份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关于对于是资本管理（深圳）有限公司采取出具警示函措施的决定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于是资本管理（深圳）有限公司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敏感期买卖</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常铝股份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【行政监管措施】江苏证监局关于对朱明采取出具警示函措施的决定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董事,高管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中国证券监督管理委员会上海监管局行政处罚决定书沪〔2021〕7号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蔡某洋</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关联方资金占用违规,董监高未勤勉尽责,未按规定提交董事会审议,未及时披露临时公告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ST松炀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关于对广东松炀再生资源股份有限公司、王壮鹏、蔡建涛、陈剑丰、林指南采取出具警示函措施的决定〔2021〕40号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广东松炀再生资源股份有限公司、王壮鹏、蔡建涛、陈剑丰、林指南</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公司本身,董事会秘书,财务总监,董事长,实际控制人,总经理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南大环境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关于南京大学环境规划设计研究院集团股份公司董事兼高级管理人员的立案调查通知书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董迎雯</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董事,高管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国元证券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关于对国元证券股份有限公司淄博人民西路证券营业部采取出具警示函措施的决定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国元证券股份有限公司淄博人民西路证券营业部</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证券公司及其从业人员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上海电气</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关于上海电气集团股份有限公司的立案调查通知书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上海电气集团股份有限公司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316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购买、出售资产不规范,提供担保不规范,关联方资金占用违规,董监高未勤勉尽责,虚列营业收入、应收（预付）账款,信息披露不真实,信息披露不完整,未及时披露临时公告,其他特定重大事项披露不规范,虚列利润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文化长城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关于广东文化长城集团股份有限公司的行政处罚及市场禁入事先告知书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广东文化长城集团股份有限公司、蔡廷祥、许高镭、任锋、蔡雪凯、吴淡珠、罗晨鹏、谢建歆、金永丽、陈伟雄、谢洁、高洪星</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公司本身,实际控制人,时任高管,时任董事长,时任董事,时任董秘,时任监事,时任总经理,时任财务总监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市场禁入（拟）,行政处罚（拟）</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易见股份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关于对云南九天投资控股集团有限公司采取责令改正措施的决定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云南九天投资控股集团有限公司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关于对滕豪采取出具警示函措施的决定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滕豪</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证券公司及其从业人员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信息披露不准确,未按规定披露一致行动关系</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新光圆成</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中国证券监督管理委员会安徽监管局行政处罚决定书〔2021〕5号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新光控股集团有限公司、周晓光</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关联关系披露不规范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ST荣华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关于对甘肃荣华实业（集团）股份有限公司实际控制人张严德采取出具警示函监督管理措施的决定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张严德</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0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董监高未勤勉尽责,下跌幅度差异较大</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ST荣华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关于对甘肃荣华实业（集团）股份有限公司董事长兼总经理刘永、董事兼财务总监李清华、董事兼董事会秘书辛永清采取出具警示函监督管理措施的决定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刘永、李清华、辛永清</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董事会秘书,财务总监,董事,董事长,总经理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下跌幅度差异较大</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ST荣华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关于对甘肃荣华实业（集团）股份有限公司采取出具警示函监督管理措施的决定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甘肃荣华实业(集团)股份有限公司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下跌幅度差异较大</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米奥会展</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关于对浙江米奥兰特商务会展股份有限公司及相关人员采取出具警示函措施的决定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浙江米奥兰特商务会展股份有限公司、潘建军、方欢胜、王天东、姚宗宪</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公司本身,董事会秘书,财务总监,董事长,总经理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下跌幅度差异较大</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盾安环境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关于对浙江盾安人工环境股份有限公司及相关人员采取出具警示函措施的决定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浙江盾安人工环境股份有限公司、姚新义、李建军、徐燕高、江冰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公司本身,董事会秘书,财务总监,董事长,总经理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预计盈利实际亏损</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南都电源</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关于对浙江南都电源动力股份有限公司及相关人员采取出具警示函措施的决定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浙江南都电源动力股份有限公司、王海光、朱保义、王莹娇、曲艺</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公司本身,董事会秘书,董事长,总经理,时任财务总监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预计盈利实际亏损</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贝因美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关于对贝因美股份有限公司及相关人员采取出具警示函措施的决定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贝因美股份有限公司、谢宏、陈滨、金志强</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公司本身,财务总监,董事长,时任董秘,总经理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中原证券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关于对中原证券股份有限公司实施出具警示函措施的决定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中原证券股份有限公司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证券公司及其从业人员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*ST科林</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关于科林环保装备股份有限公司的立案调查通知书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科林环保装备股份有限公司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提供担保不规范,关联方资金占用违规,董监高未勤勉尽责,未及时披露临时公告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*ST聚龙</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关于对聚龙股份有限公司、柳长庆、柳永诠采取出具警示函措施的决定[2021]10号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聚龙股份有限公司、柳长庆、柳永诠</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公司本身,董事长,实际控制人,时任董事长</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43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未按规定提交股东大会审议,内幕信息知情人管理、报批不规范,未按规定披露重大诉讼和仲裁,未履行公开承诺,坏账、存货跌价准备计提不规范,未及时披露临时公告,下跌幅度差异较大,其他会计处理不规范,未持续披露事项进展,公司回购事项违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银禧科技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关于对广东银禧科技股份有限公司、谭颂斌、林登灿、郑桂华、顾险峰采取出具警示函措施的决定〔2021〕46号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广东银禧科技股份有限公司、谭颂斌、林登灿、郑桂华、顾险峰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公司本身,董事会秘书,财务总监,时任董事长,总经理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减持未预披露</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银禧科技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关于对石河子瑞晨股权投资合伙企业（有限合伙）采取出具警示函措施的决定〔2021〕45号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石河子瑞晨股权投资合伙企业(有限合伙)</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董监高未勤勉尽责,虚列营业收入、应收（预付）账款,资产减值不规范,信息披露不真实,其他会计处理不规范,虚列利润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*ST同洲</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中国证券监督管理委员会深圳监管局行政处罚决定书〔2021〕2号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深圳市同洲电子股份有限公司、袁明、颜小北、袁团柱、欧阳建国、王红伟、贺磊、潘玲曼、吴远亮、王健峰、王特、侯颂、李宁远、陈友、肖寒梅、刘一平、王洋</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公司本身,董事会秘书,监事,独立董事,实际控制人,高管,时任高管,时任董事长,时任董事,时任监事,时任总经理,时任财务总监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福成股份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行政处罚决定书（李福成）</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李福成</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超比例违规减持</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银禧科技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关于对新余德康投资管理有限公司采取出具警示函措施的决定〔2021〕44号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新余德康投资管理有限公司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未履行公开承诺,未及时披露临时公告,公司回购事项违规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启迪环境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湖北证监局关于对启迪环境科技发展股份有限公司采取出具警示函措施的决定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启迪环境科技发展股份有限公司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纳川股份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关于福建纳川管材科技股份有限公司公司全资子公司及公司董事长的立案调查通知书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福建纳川贸易有限公司、陈志江、张晓樱</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董事长,其他关系方,全资子公司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提供担保不规范,关联方资金占用违规,未按规定提交董事会审议,未按规定提交股东大会审议,未按规定披露重大诉讼和仲裁,信息披露不完整,未及时披露临时公告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邦讯技术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关于对邦讯技术股份有限公司、张庆文、戴芙蓉采取出具警示函措施的决定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邦讯技术股份有限公司、张庆文、戴芙蓉</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公司本身,董事长,高管,时任董事,总经理,控股股东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提供担保不规范,未按规定提交董事会审议,未及时披露临时公告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亚太药业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关于对浙江亚太药业股份有限公司及相关人员采取出具警示函措施的决定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浙江亚太药业股份有限公司、陈尧根、何珍、沈依伊、任军</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公司本身,董事会秘书,财务总监,时任董事长,时任董事,时任总经理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南风股份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关于南方风机股份有限公司的结案通知书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南方风机股份有限公司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提供担保不规范,关联交易不规范,关联方资金占用违规,董监高未勤勉尽责,信息披露不真实,信息披露不完整</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八菱科技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关于南宁八菱科技股份有限公司的广西证监局行政处罚事先告知书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南宁八菱科技股份有限公司、王安祥、顾瑜、黄生田、黄缘</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公司本身,董事会秘书,财务总监,董事长,交易对手方,高管,总经理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行政处罚（拟）,责令改正</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超比例违规减持,减持未预披露,股份减持披露不规范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华发股份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关于对戴戈缨采取出具警示函措施的决定〔2021〕41号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戴戈缨</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海波重科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湖北证监局关于对李晓明采取出具警示函措施的决定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李晓明</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*ST高升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湖北证监局关于对袁佳宁采取责令改正措施的决定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袁佳宁</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业绩承诺方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w:t>
            </w:r>
          </w:p>
        </w:tc>
      </w:tr>
      <w:tr>
        <w:tblPrEx>
          <w:tblCellMar>
            <w:top w:w="0" w:type="dxa"/>
            <w:left w:w="0" w:type="dxa"/>
            <w:bottom w:w="0" w:type="dxa"/>
            <w:right w:w="0" w:type="dxa"/>
          </w:tblCellMar>
        </w:tblPrEx>
        <w:trPr>
          <w:trHeight w:val="259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提供担保不规范,关联方资金占用违规,董监高未勤勉尽责,未按规定提交董事会审议,未按规定提交股东大会审议,未及时披露临时公告,其他特定重大事项披露不规范,未持续披露事项进展</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ST粤泰</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关于对广州粤泰集团股份有限公司、杨树坪、李宏坤、梁文才、蔡锦鹭、徐应林、司小平采取出具警示函措施的决定〔2021〕47号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广州粤泰集团股份有限公司、杨树坪、李宏坤、梁文才、蔡锦鹭、徐应林、司小平</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公司本身,董事会秘书,财务总监,董事长,实际控制人,时任总经理,时任财务总监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利通电子</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【行政监管措施】关于对张德峰采取出具警示函行政监管措施的决定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张德峰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时任监事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关联方资金占用违规,信息披露不完整</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惠程科技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关于对深圳市惠程信息科技股份有限公司、汪超涌采取出具警示函措施的决定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深圳市惠程信息科技股份有限公司、汪超涌</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公司本身,董事长,实际控制人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黄河旋风</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关于对许昌市市投智慧城市开发建设有限公司实施监管谈话措施的决定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许昌市市投智慧城市开发建设有限公司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监管谈话</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董监高未勤勉尽责,信息披露不真实,财务数据造假,虚列利润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*ST华讯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市场禁入决定书（吴光胜）</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吴光胜</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时任董事长,时任总经理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鲁商置业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中国证券监督管理委员会山东监管局行政处罚决定书（〔2021〕4号）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徐春泉、彭保丽</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ST新海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关于新海宜科技集团股份有限公司的立案调查通知书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新海宜科技集团股份有限公司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*ST聚龙</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关于聚龙股份有限公司公司及实际控制人的立案调查通知书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聚龙股份有限公司、柳长庆、柳永诠</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仁东控股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关于仁东控股股份有限公司的立案调查通知书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仁东控股股份有限公司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立案调查</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董监高未勤勉尽责,信息披露不真实,财务数据造假,虚列利润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*ST华讯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行政处罚决定书（华讯方舟股份有限公司）</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华讯方舟股份有限公司、吴光胜、张沈卫、张峥、王巍、李湘平、潘忠祥、赵术开、曹健、宋晏、谢维信、张玉川、李晓丛、刘琳、路威、余勇、汤琪、陆建国、诸志超、黄立峰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公司本身,时任高管,时任董事长,时任董事,时任独董,时任董秘,时任监事,时任总经理,时任财务总监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岳阳林纸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关于对泰格林纸集团股份有限公司采取出具警示函措施的决定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泰格林纸集团股份有限公司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关联方资金占用违规,董监高未勤勉尽责,未按规定提交董事会审议,未按规定提交股东大会审议,未及时披露临时公告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岳阳林纸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关于对叶蒙、李战、钟秋生、易兰锴采取监管谈话措施的决定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叶蒙、李战、钟秋生、易兰锴</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董事会秘书,财务总监,董事长,总经理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监管谈话</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关联方资金占用违规,未按规定提交董事会审议,未按规定提交股东大会审议,未及时披露临时公告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岳阳林纸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关于对岳阳林纸股份有限公司采取出具警示函措施的决定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岳阳林纸股份有限公司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预计盈利实际亏损</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扬子新材</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【行政监管措施】江苏证监局关于对苏州扬子江新型材料股份有限公司采取出具警示函措施的决定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苏州扬子江新型材料股份有限公司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0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提供担保不规范,未按规定提交董事会审议,未按规定提交股东大会审议,未按规定披露重大诉讼和仲裁,信息披露不完整,未及时披露临时公告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*ST长动</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关于长城国际动漫游戏股份有限公司的行政处罚事先告知书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长城国际动漫游戏股份有限公司、赵锐勇、马利清、俞连明、赵非凡</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公司本身,时任董事长,时任董事,时任总经理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行政处罚（拟）,责令改正</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鲁商置业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中国证券监督管理委员会山东监管局行政处罚决定书（〔2021〕3号）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杨慧</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商赢环球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宁夏证监局关于对杨军采取出具警示函行政监督管理措施的决定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杨军</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莱美药业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中国证券监督管理委员会重庆监管局行政处罚决定书[2021]3号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张亮、王抗</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对外投资不规范,提供担保不规范,董监高未勤勉尽责,未按规定提交董事会审议,未及时披露临时公告,其他特定重大事项披露不规范,未持续披露事项进展</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国统股份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关于对卢兆东采取出具警示函措施的决定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卢兆东</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对外投资不规范,提供担保不规范,董监高未勤勉尽责,未按规定提交董事会审议,未及时披露临时公告,其他特定重大事项披露不规范,未持续披露事项进展</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国统股份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关于对徐永平采取出具警示函措施的决定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徐永平</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时任董事长,时任董秘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0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对外投资不规范,提供担保不规范,未按规定提交董事会审议,未及时披露临时公告,其他特定重大事项披露不规范,未持续披露事项进展</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国统股份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关于对新疆国统管道股份有限公司采取出具警示函措施的决定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新疆国统管道股份有限公司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保税科技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【行政监管措施】江苏证监局关于对共青城胜帮凯米投资合伙企业（有限合伙）采取出具警示函措施的决定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共青城胜帮凯米投资合伙企业（有限合伙）</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增长幅度差异较大,未及时披露更正业绩预告（快报）,董监高未勤勉尽责</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美尔雅</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湖北证监局关于对湖北美尔雅股份有限公司、陈京南、黄轶芳、褚圆圆出具警示函措施的决定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湖北美尔雅股份有限公司、陈京南、黄轶芳、褚圆圆</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公司本身,时任董事长,时任董秘,时任总经理,时任财务总监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林海股份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【行政监管措施】江苏证监局关于对中国福马机械集团有限公司采取出具警示函措施的决定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中国福马机械集团有限公司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关联交易不规范,未按规定提交股东大会审议,未及时披露临时公告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林海股份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【行政监管措施】江苏证监局关于对林海股份有限公司采取出具警示函措施的决定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林海股份有限公司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2021/07/22</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内部控制制度存在重大缺陷,生产安全问题</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德方纳米</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关于深圳市德方纳米科技股份有限公司控股子公司的行政处罚决定书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曲靖市麟铁科技有限公司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控股参股公司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2021/07/23</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短线交易,可转债减持违规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乐普医疗</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关于对王其红采取出具警示函监管措施的决定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王其红</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2021/07/23</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限制期买卖股票,超比例违规减持,股份减持披露不规范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舒泰神</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关于对拉萨开发区香塘同轩科技有限公司采取出具警示函行政监管措施的决定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拉萨开发区香塘同轩科技有限公司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关于对周伟洪采取责令改正措施的决定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周伟洪</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交易对手方,业绩承诺方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中文在线</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中国证券监督管理委员会大连监管局行政处罚决定书（王腾）</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王腾</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57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超比例违规减持,未履行公开承诺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华谊嘉信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关于对李凌波采取出具警示函监管措施的决定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李凌波</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时任高管,时任董事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2021/07/26</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关联交易不规范,董监高未勤勉尽责,未按规定提交股东大会审议,未及时披露临时公告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林海股份</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【行政监管措施】江苏证监局关于对孙峰、常康忠、李鹏鹏采取出具警示函措施的决定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孙峰、常康忠、李鹏鹏</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时任董事长,时任董秘,时任总经理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虚构客户、合同、虚开发票,虚列营业收入、应收（预付）账款,信息披露不真实,财务数据造假,虚列利润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每日互动</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关于每日互动股份有限公司的行政处罚事先告知书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每日互动股份有限公司、方毅、朱剑敏、李浩川、叶新江、孔祥清、李立</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公司本身,时任高管,时任董事长,时任董事,时任董秘,时任监事,时任总经理,时任财务总监,公司员工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行政处罚（拟）,责令改正</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*ST环球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宁夏证监局关于对上海乐源资产管理有限公司、起跑线企业发展（上海）有限公司、商赢控股集团有限公司采取出具警示函行政监督管理措施的决定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上海乐源资产管理有限公司、起跑线企 业发展（上海）有限公司、商赢控股集团有限公司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未及时披露更正业绩预告（快报）,预计盈利实际亏损</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*ST美尚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【行政监管措施】关于对美尚生态景观股份有限公司采取出具警示函措施的决定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美尚生态景观股份有限公司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0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提供担保不规范,关联方资金占用违规,未按规定提交董事会审议,未按规定提交股东大会审议,信息披露不完整,未及时披露临时公告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ST信通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关于亿阳信通股份有限公司的行政处罚及市场禁入事先告知书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亿阳信通股份有限公司、邓伟、邓清、曲飞、田绪文</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公司本身,其他关系方,实际控制人,时任高管,法定代表人,时任董事长,时任董事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市场禁入（拟）,行政处罚（拟）,责令改正</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道氏技术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关于对何祥洪采取出具警示函措施的决定〔2021〕53号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何祥洪</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345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未按规定提交董事会审议,未按规定提交股东大会审议,内部控制制度存在重大缺陷,未按规定披露变更会计政策,信息披露不准确,信息披露不完整,未及时披露临时公告,其他财务类违规,其他会计处理不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国联水产</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关于对湛江国联水产开发股份有限公司及李忠等人采取出具警示函措施的决定〔2021〕52号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湛江国联水产开发股份有限公司、李忠、陈汉、樊春花、张勇、易绚雯、鲁承诚、李国通</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公司本身,财务总监,董事长,时任董事,时任董秘,总经理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道氏技术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关于对余祖灯采取出具警示函措施的决定〔2021〕54号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余祖灯</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关联方资金占用违规,董监高未勤勉尽责,信息披露不准确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*ST赛为</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深圳证监局关于对深圳市赛为智能股份有限公司、周勇、宁群仪、刘诚采取出具警示函措施的决定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赛为智能股份有限公司、周勇、宁群仪、刘诚</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公司本身,财务总监,董事长,实际控制人,总经理,时任财务总监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20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重大资产重组不规范,虚构客户、合同、虚开发票,收入确认不规范,虚列营业收入、应收（预付）账款,信息披露不真实,财务数据造假,虚列利润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康尼机电</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中国证监会市场禁入决定书（廖良茂、曾祥洋）</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廖良茂、曾祥洋</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虚构客户、合同、虚开发票,收入确认不规范,虚列营业收入、应收（预付）账款,信息披露不真实,财务数据造假,虚列利润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康尼机电</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中国证监会行政处罚决定书（广东龙昕科技有限公司、廖良茂、曾祥洋）</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广东龙昕科技有限公司、廖良茂、曾祥洋</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其他关系方,全资子公司</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关联方资金占用违规,未按规定提交董事会审议,未及时披露临时公告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汉邦高科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关于对王立群采取出具警示函行政监管措施的决定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王立群</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实际控制人,法定代表人,时任董事长,时任董秘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内幕交易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力帆科技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中国证券监督管理委员会重庆监管局行政处罚决定书[2021]4号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周兴华</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公司员工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*ST环球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宁夏证监局关于对罗永斌、杨军采取责令改正行政监督管理措施的决定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罗永斌、杨军</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业绩承诺方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w:t>
            </w:r>
          </w:p>
        </w:tc>
      </w:tr>
      <w:tr>
        <w:tblPrEx>
          <w:tblCellMar>
            <w:top w:w="0" w:type="dxa"/>
            <w:left w:w="0" w:type="dxa"/>
            <w:bottom w:w="0" w:type="dxa"/>
            <w:right w:w="0" w:type="dxa"/>
          </w:tblCellMar>
        </w:tblPrEx>
        <w:trPr>
          <w:trHeight w:val="230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提供担保不规范,董监高未勤勉尽责,虚列营业收入、应收（预付）账款,信息披露不真实,信息披露不完整,未及时披露临时公告,财务数据造假,虚列利润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*ST航通</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关于航天通信控股集团股份有限公司的中国证券监督管理委员会行政处罚事先告知书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航天通信控股集团股份有限公司、敖刚、邹永杭、朱汉、张奕、曹君、赵树飞、崔维兵、吴从曙、江山</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公司本身,董事会秘书,自然人股东,其他关系方,高管,时任高管,时任董事长</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市场禁入（拟）,行政处罚（拟）,责令改正</w:t>
            </w:r>
          </w:p>
        </w:tc>
      </w:tr>
      <w:tr>
        <w:tblPrEx>
          <w:tblCellMar>
            <w:top w:w="0" w:type="dxa"/>
            <w:left w:w="0" w:type="dxa"/>
            <w:bottom w:w="0" w:type="dxa"/>
            <w:right w:w="0" w:type="dxa"/>
          </w:tblCellMar>
        </w:tblPrEx>
        <w:trPr>
          <w:trHeight w:val="172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虚列营业收入、应收（预付）账款,虚列银行存款,信息披露不真实,其他会计处理不规范,财务数据造假,虚列利润</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*ST康得</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中国证监会行政处罚决定书（康得新复合材料集团股份有限公司、钟玉）</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康得新复合材料集团股份有限公司、钟玉</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公司本身,实际控制人,时任董事长</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r>
        <w:tblPrEx>
          <w:tblCellMar>
            <w:top w:w="0" w:type="dxa"/>
            <w:left w:w="0" w:type="dxa"/>
            <w:bottom w:w="0" w:type="dxa"/>
            <w:right w:w="0" w:type="dxa"/>
          </w:tblCellMar>
        </w:tblPrEx>
        <w:trPr>
          <w:trHeight w:val="864"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内部控制制度存在重大缺陷</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中信证券</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关于对周鹏、肖少春采取出具警示函监管措施的决定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周鹏、肖少春</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证券公司及其从业人员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提供财务资助不规范,关联方资金占用违规,信息披露不完整,未及时披露临时公告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北特科技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关于对上海北特科技股份有限公司采取出具警示函措施的决定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上海北特科技股份有限公司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提供财务资助不规范,关联方资金占用违规,董监高未勤勉尽责,信息披露不完整,未及时披露临时公告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北特科技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关于对靳坤采取出具警示函措施的决定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靳坤</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董事长,实际控制人,控股股东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提供财务资助不规范,关联方资金占用违规,董监高未勤勉尽责,信息披露不完整,未及时披露临时公告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北特科技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关于对徐鸿飞采取出具警示函措施的决定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徐鸿飞</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董事会秘书,时任财务总监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4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提供财务资助不规范,关联方资金占用违规,董监高未勤勉尽责,信息披露不完整,未及时披露临时公告</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北特科技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关于对靳晓堂采取出具警示函措施的决定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靳晓堂</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董事,总经理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出具警示函</w:t>
            </w:r>
          </w:p>
        </w:tc>
      </w:tr>
      <w:tr>
        <w:tblPrEx>
          <w:tblCellMar>
            <w:top w:w="0" w:type="dxa"/>
            <w:left w:w="0" w:type="dxa"/>
            <w:bottom w:w="0" w:type="dxa"/>
            <w:right w:w="0" w:type="dxa"/>
          </w:tblCellMar>
        </w:tblPrEx>
        <w:trPr>
          <w:trHeight w:val="115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重大资产重组不规范,信息披露不真实</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康尼机电</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中国证监会行政处罚决定书（南京康尼机电股份有限公司、陈颖奇、高文明）</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南京康尼机电股份有限公司、陈颖奇、高文明</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公司本身,时任高管,时任董事长,时任董事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责令改正,行政处罚</w:t>
            </w:r>
          </w:p>
        </w:tc>
      </w:tr>
    </w:tbl>
    <w:p>
      <w:pPr>
        <w:pStyle w:val="3"/>
        <w:bidi w:val="0"/>
        <w:rPr>
          <w:rFonts w:hint="eastAsia" w:ascii="仿宋_GB2312" w:hAnsi="仿宋_GB2312" w:eastAsia="仿宋_GB2312" w:cs="仿宋_GB2312"/>
          <w:bCs/>
          <w:color w:val="auto"/>
          <w:sz w:val="24"/>
          <w:szCs w:val="24"/>
          <w:lang w:val="en-US" w:eastAsia="zh-CN"/>
        </w:rPr>
      </w:pPr>
    </w:p>
    <w:p>
      <w:pPr>
        <w:rPr>
          <w:rFonts w:hint="eastAsia"/>
          <w:lang w:val="en-US" w:eastAsia="zh-CN"/>
        </w:rPr>
      </w:pPr>
    </w:p>
    <w:p>
      <w:pPr>
        <w:pStyle w:val="3"/>
        <w:bidi w:val="0"/>
        <w:ind w:firstLine="241" w:firstLineChars="100"/>
        <w:rPr>
          <w:rFonts w:hint="default"/>
          <w:color w:val="auto"/>
          <w:lang w:val="en-US" w:eastAsia="zh-CN"/>
        </w:rPr>
      </w:pPr>
      <w:bookmarkStart w:id="26" w:name="_Toc13692"/>
      <w:r>
        <w:rPr>
          <w:rFonts w:hint="eastAsia" w:ascii="仿宋_GB2312" w:hAnsi="仿宋_GB2312" w:eastAsia="仿宋_GB2312" w:cs="仿宋_GB2312"/>
          <w:bCs/>
          <w:color w:val="auto"/>
          <w:sz w:val="24"/>
          <w:szCs w:val="24"/>
          <w:lang w:val="en-US" w:eastAsia="zh-CN"/>
        </w:rPr>
        <w:t xml:space="preserve">▶ </w:t>
      </w:r>
      <w:r>
        <w:rPr>
          <w:rFonts w:hint="default"/>
          <w:color w:val="auto"/>
          <w:lang w:val="en-US" w:eastAsia="zh-CN"/>
        </w:rPr>
        <w:t>2021年7月1日至7月</w:t>
      </w:r>
      <w:r>
        <w:rPr>
          <w:rFonts w:hint="eastAsia"/>
          <w:color w:val="auto"/>
          <w:lang w:val="en-US" w:eastAsia="zh-CN"/>
        </w:rPr>
        <w:t>31</w:t>
      </w:r>
      <w:r>
        <w:rPr>
          <w:rFonts w:hint="default"/>
          <w:color w:val="auto"/>
          <w:lang w:val="en-US" w:eastAsia="zh-CN"/>
        </w:rPr>
        <w:t>日，上海证券交易所、深圳证券交易所对市场主体采取自律监管措施、予以纪律处分情况一览表</w:t>
      </w:r>
      <w:r>
        <w:rPr>
          <w:rFonts w:hint="eastAsia"/>
          <w:color w:val="auto"/>
          <w:lang w:val="en-US" w:eastAsia="zh-CN"/>
        </w:rPr>
        <w:t>（共计79个）</w:t>
      </w:r>
      <w:r>
        <w:rPr>
          <w:rFonts w:hint="default"/>
          <w:color w:val="auto"/>
          <w:lang w:val="en-US" w:eastAsia="zh-CN"/>
        </w:rPr>
        <w:t>：</w:t>
      </w:r>
      <w:bookmarkEnd w:id="26"/>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说明：</w:t>
      </w:r>
    </w:p>
    <w:p>
      <w:pPr>
        <w:numPr>
          <w:ilvl w:val="0"/>
          <w:numId w:val="2"/>
        </w:num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从违规类型上看，7月份上市公司的违规类型主要包括公司信息披露违规、业绩预告（快报）公告违规、特定重大事项披露违规、证券交易类违规、（关联）交易违规、公司运作治理违规、财务类违规及其他。</w:t>
      </w:r>
    </w:p>
    <w:p>
      <w:pPr>
        <w:ind w:firstLine="56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2、从地域分布来看，7月份分布情况如下：</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江苏（15个）、</w:t>
      </w:r>
      <w:r>
        <w:rPr>
          <w:rFonts w:hint="eastAsia" w:ascii="仿宋_GB2312" w:hAnsi="仿宋_GB2312" w:eastAsia="仿宋_GB2312" w:cs="仿宋_GB2312"/>
          <w:b w:val="0"/>
          <w:bCs w:val="0"/>
          <w:color w:val="auto"/>
          <w:sz w:val="28"/>
          <w:szCs w:val="28"/>
          <w:lang w:val="en-US" w:eastAsia="zh-CN"/>
        </w:rPr>
        <w:t>浙江（9个）、</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北京（6个）、广东（5个）、深圳（4个）、上海（4个）、湖北（4个）、四川（4个）、山西（</w:t>
      </w:r>
      <w:r>
        <w:rPr>
          <w:rFonts w:hint="eastAsia" w:ascii="仿宋_GB2312" w:hAnsi="仿宋_GB2312" w:eastAsia="仿宋_GB2312" w:cs="仿宋_GB2312"/>
          <w:b w:val="0"/>
          <w:bCs w:val="0"/>
          <w:color w:val="auto"/>
          <w:sz w:val="28"/>
          <w:szCs w:val="28"/>
          <w:lang w:val="en-US" w:eastAsia="zh-CN"/>
        </w:rPr>
        <w:t>3个）、</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湖南（2个）、河北（2个）、重庆（2个）、</w:t>
      </w:r>
      <w:r>
        <w:rPr>
          <w:rFonts w:hint="eastAsia" w:ascii="仿宋_GB2312" w:hAnsi="仿宋_GB2312" w:eastAsia="仿宋_GB2312" w:cs="仿宋_GB2312"/>
          <w:b w:val="0"/>
          <w:bCs w:val="0"/>
          <w:color w:val="auto"/>
          <w:sz w:val="28"/>
          <w:szCs w:val="28"/>
          <w:lang w:val="en-US" w:eastAsia="zh-CN"/>
        </w:rPr>
        <w:t>新疆（2个）、厦门（2个）、</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山东（2个）、</w:t>
      </w:r>
      <w:r>
        <w:rPr>
          <w:rFonts w:hint="eastAsia" w:ascii="仿宋_GB2312" w:hAnsi="仿宋_GB2312" w:eastAsia="仿宋_GB2312" w:cs="仿宋_GB2312"/>
          <w:b w:val="0"/>
          <w:bCs w:val="0"/>
          <w:color w:val="auto"/>
          <w:sz w:val="28"/>
          <w:szCs w:val="28"/>
          <w:lang w:val="en-US" w:eastAsia="zh-CN"/>
        </w:rPr>
        <w:t>天津（1个）、陕西（1个）、</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青海（1个）、江西（1个）、吉林（1个）、甘肃（1个）、大连（1个）、河南（1个）、黑龙江（1个）、广西（1个）、福建（1个）</w:t>
      </w:r>
      <w:r>
        <w:rPr>
          <w:rFonts w:hint="eastAsia" w:ascii="仿宋_GB2312" w:hAnsi="仿宋_GB2312" w:eastAsia="仿宋_GB2312" w:cs="仿宋_GB2312"/>
          <w:b w:val="0"/>
          <w:bCs w:val="0"/>
          <w:color w:val="0000FF"/>
          <w:sz w:val="28"/>
          <w:szCs w:val="28"/>
          <w:lang w:val="en-US" w:eastAsia="zh-CN"/>
        </w:rPr>
        <w:t>。</w:t>
      </w:r>
      <w:r>
        <w:rPr>
          <w:rFonts w:hint="eastAsia" w:ascii="仿宋_GB2312" w:hAnsi="仿宋_GB2312" w:eastAsia="仿宋_GB2312" w:cs="仿宋_GB2312"/>
          <w:b w:val="0"/>
          <w:bCs w:val="0"/>
          <w:color w:val="auto"/>
          <w:sz w:val="28"/>
          <w:szCs w:val="28"/>
          <w:lang w:val="en-US" w:eastAsia="zh-CN"/>
        </w:rPr>
        <w:t>其中，河南辖区1个是：大有能源（因关联方资金占用违规、董监高未勤勉尽责被通报批评、公开谴责）。</w:t>
      </w:r>
    </w:p>
    <w:p>
      <w:pPr>
        <w:rPr>
          <w:rFonts w:hint="default"/>
          <w:color w:val="auto"/>
          <w:lang w:val="en-US" w:eastAsia="zh-CN"/>
        </w:rPr>
      </w:pPr>
    </w:p>
    <w:p>
      <w:pPr>
        <w:rPr>
          <w:rFonts w:hint="default"/>
          <w:color w:val="auto"/>
          <w:lang w:val="en-US" w:eastAsia="zh-CN"/>
        </w:rPr>
      </w:pPr>
    </w:p>
    <w:tbl>
      <w:tblPr>
        <w:tblStyle w:val="11"/>
        <w:tblW w:w="14305" w:type="dxa"/>
        <w:tblInd w:w="0" w:type="dxa"/>
        <w:shd w:val="clear" w:color="auto" w:fill="auto"/>
        <w:tblLayout w:type="autofit"/>
        <w:tblCellMar>
          <w:top w:w="0" w:type="dxa"/>
          <w:left w:w="0" w:type="dxa"/>
          <w:bottom w:w="0" w:type="dxa"/>
          <w:right w:w="0" w:type="dxa"/>
        </w:tblCellMar>
      </w:tblPr>
      <w:tblGrid>
        <w:gridCol w:w="742"/>
        <w:gridCol w:w="1336"/>
        <w:gridCol w:w="1067"/>
        <w:gridCol w:w="2676"/>
        <w:gridCol w:w="1128"/>
        <w:gridCol w:w="2436"/>
        <w:gridCol w:w="2436"/>
        <w:gridCol w:w="1488"/>
        <w:gridCol w:w="996"/>
      </w:tblGrid>
      <w:tr>
        <w:tblPrEx>
          <w:shd w:val="clear" w:color="auto" w:fill="auto"/>
          <w:tblCellMar>
            <w:top w:w="0" w:type="dxa"/>
            <w:left w:w="0" w:type="dxa"/>
            <w:bottom w:w="0" w:type="dxa"/>
            <w:right w:w="0" w:type="dxa"/>
          </w:tblCellMar>
        </w:tblPrEx>
        <w:trPr>
          <w:trHeight w:val="5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处罚日期</w:t>
            </w:r>
          </w:p>
        </w:tc>
        <w:tc>
          <w:tcPr>
            <w:tcW w:w="1067"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公司简称</w:t>
            </w:r>
          </w:p>
        </w:tc>
        <w:tc>
          <w:tcPr>
            <w:tcW w:w="2676"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案例标题</w:t>
            </w:r>
          </w:p>
        </w:tc>
        <w:tc>
          <w:tcPr>
            <w:tcW w:w="1128"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所在地区</w:t>
            </w:r>
          </w:p>
        </w:tc>
        <w:tc>
          <w:tcPr>
            <w:tcW w:w="2436"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违规类型</w:t>
            </w:r>
          </w:p>
        </w:tc>
        <w:tc>
          <w:tcPr>
            <w:tcW w:w="2436"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处罚对象</w:t>
            </w:r>
          </w:p>
        </w:tc>
        <w:tc>
          <w:tcPr>
            <w:tcW w:w="1488"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处罚对象身份</w:t>
            </w:r>
          </w:p>
        </w:tc>
        <w:tc>
          <w:tcPr>
            <w:tcW w:w="996" w:type="dxa"/>
            <w:tcBorders>
              <w:top w:val="single" w:color="000000" w:sz="4" w:space="0"/>
              <w:left w:val="single" w:color="000000" w:sz="4" w:space="0"/>
              <w:bottom w:val="single" w:color="000000" w:sz="4" w:space="0"/>
              <w:right w:val="single" w:color="000000" w:sz="4" w:space="0"/>
            </w:tcBorders>
            <w:shd w:val="clear" w:color="auto" w:fill="BFBFB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处罚类型</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精测电子</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关于对武汉精测电子集团股份有限公司的监管函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提供财务资助不规范,未按规定提交董事会审议,未及时披露临时公告</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武汉精测电子集团股份有限公司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大连圣亚</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关于大连圣亚旅游控股股份有限公司媒体报道相关事项的监管工作函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大连圣亚旅游控股股份有限公司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圣农发展</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关于对福建圣农发展股份有限公司的监管函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未及时披露业绩预告（快报）</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福建圣农发展股份有限公司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杉杉股份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关于宁波杉杉股份有限公司信息披露事项的监管工作函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宁波杉杉股份有限公司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常铝股份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关于对江苏常铝铝业集团股份有限公司的监管函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增长幅度差异较大,未及时披露更正业绩预告（快报）</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江苏常铝铝业集团股份有限公司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7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*ST中基</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关于对中基健康产业股份有限公司的监管函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未及时披露业绩预告（快报）,未及时披露更正业绩预告（快报）,未按规定披露重大诉讼和仲裁,下跌幅度差异较大,未持续披露事项进展</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中基健康产业股份有限公司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卓郎智能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关于卓郎智能技术股份有限公司的监管工作函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卓郎智能技术股份有限公司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新美星</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关于对江苏新美星包装机械股份有限公司股东何云涛的监管函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限制期买卖股票,超比例违规减持</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何云涛</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首航高科</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关于对首航高科能源技术股份有限公司实际控制人黄文佳、黄卿乐的监管函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股票冻结不规范,未及时披露临时公告</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黄文佳、黄卿乐</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南新制药</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关于湖南南新制药股份有限公司的监管工作函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湖南南新制药股份有限公司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*ST米奥</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关于对浙江米奥兰特商务会展股份有限公司的监管函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未及时披露临时公告,下跌幅度差异较大</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浙江米奥兰特商务会展股份有限公司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泛亚微透</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关于江苏泛亚微透科技股份有限公司股权收购事项的监管工作函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江苏泛亚微透科技股份有限公司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ST新海</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关于新海宜科技集团股份有限公司的监管函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信息披露不准确,其他会计处理不规范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新海宜科技集团股份有限公司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太化股份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关于对山西华阳新材料股份有限公司及时任董事会秘书景红升予以监管警示的决定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董监高未勤勉尽责,信息披露不准确,信息披露不完整</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山西华阳新材料股份有限公司、景红升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康弘药业</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关于对成都康弘药业集团股份有限公司的监管函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未及时披露业绩预告（快报）</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成都康弘药业集团股份有限公司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石基信息</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关于对北京中长石基信息技术股份有限公司的监管函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未及时披露更正业绩预告（快报）,预计盈利实际亏损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北京中长石基信息技术股份有限公司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ST光一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关于对光一科技股份有限公司股东湖北乾瀚投资有限公司的监管函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限制期买卖股票,超比例违规减持</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湖北乾瀚投资有限公司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金麒麟</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关于对山东金麒麟股份有限公司及时任董事会秘书辛彬予以监管警示的决定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董监高未勤勉尽责,未及时披露临时公告,未按规定披露重大债务、损失</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山东金麒麟股份有限公司、辛彬</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美诺华</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关于对宁波美诺华药业股份有限公司时任副总经理许健予以监管警示的决定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许健</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时任高管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物产中大</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关于对物产中大集团股份有限公司及时任董事会秘书廖建新予以监管警示的决定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董监高未勤勉尽责,重大事项消息泄露,信息披露违反公平原则,未及时披露临时公告</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物产中大集团股份有限公司、廖建新</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桂冠电力</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关于对广西桂冠电力股份有限公司股东中国长江电力股份有限公司予以监管警示的决定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中国长江电力股份有限公司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爱康科技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关于江苏爱康科技股份有限公司的监管函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增长幅度差异较大,未及时披露更正业绩预告（快报）</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江苏爱康科技股份有限公司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2021/07/09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岭南股份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关于对龚晓明的监管函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龚晓明</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交易对手方,业绩承诺方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ST信通</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关于对亿阳信通股份有限公司控股股东重整投资人大连万怡投资有限公司及其实际控制人王文锋予以通报批评的决定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未履行公开承诺,其他股份变动不规范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大连万怡投资有限公司、王文锋</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龙宇燃油</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关于对上海龙宇燃油股份有限公司及有关责任人予以监管警示的决定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未及时披露更正业绩预告（快报）,董监高未勤勉尽责,预计盈利实际亏损,下跌幅度差异较大</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上海龙宇燃油股份有限公司、徐增增、刘策、卢玉平、李敏、胡湧</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公司本身,时任董事长,时任独董,时任董秘,时任总经理,时任财务总监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7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珠江股份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关于对广州珠江实业开发股份有限公司、关联方瑞士中星投资有限公司及有关责任人予以监管警示的决定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广州珠江实业开发股份有限公司、瑞士中星投资有限公司、张研、答恒诚、覃宪姬</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公司本身,其他关系方,时任董事长,时任董秘,时任总经理,时任财务总监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安井食品</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关于福建安井食品股份有限公司的监管工作函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福建安井食品股份有限公司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兰生股份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关于东浩兰生会展集团股份有限公司的监管工作函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东浩兰生会展集团股份有限公司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三圣股份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关于对潘呈恭的监管函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减持未预披露</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潘呈恭</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自然人股东,董事长,总经理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金财互联</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关于对徐正军的监管函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限制期买卖股票,减持未预披露</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徐正军</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董事,实际控制人,总经理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蓝光发展</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关于四川蓝光发展股份有限公司的监管工作函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四川蓝光发展股份有限公司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华海药业</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关于对浙江华海药业股份有限公司时任副总经理尚飞予以监管警示的决定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短线交易,未履行公开承诺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尚飞</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时任高管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圣湘生物</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关于圣湘生物科技股份有限公司的监管工作函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圣湘生物科技股份有限公司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天顺风能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关于对天顺风能（苏州）股份有限公司的监管函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未按规定提交股东大会审议,变更承诺不规范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天顺风能(苏州)股份有限公司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盛屯矿业</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关于对盛屯矿业集团股份有限公司控股股东深圳盛屯集团有限公司予以监管警示的决定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减持未预披露</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深圳盛屯集团有限公司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天顺风能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关于对南通实业有限公司的监管函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南通实业有限公司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业绩承诺方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2021/07/14</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ST北文</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关于对西藏金宝藏文化传媒有限公司的监管函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减持未预披露</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西藏金宝藏文化传媒有限公司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中利集团</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关于对江苏中利集团股份有限公司副董事长、总经理王伟峰的监管函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敏感期买卖,减持未预披露</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王伟峰</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蓝光发展</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关于四川蓝光发展股份有限公司的监管工作函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四川蓝光发展股份有限公司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关于对广东四通集团股份有限公司及有关责任人予以通报批评的决定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未及时披露更正业绩预告（快报）,董监高未勤勉尽责,预计盈利实际亏损,下跌幅度差异较大</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广东四通集团股份有限公司、蔡镇城、蔡镇通、陈哲辉、于团叶、黄奕鹏</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公司本身,时任董事长,时任独董,时任董秘,时任总经理,时任财务总监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金字火腿</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关于对娄底中钰资产管理有限公司及相关当事人给予通报批评处分的决定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未履行公开承诺</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娄底中钰资产管理有限公司、中钰资本管理（北京）有限公司、禹勃、马贤明、王徽、金涛、王波宇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业绩承诺方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星徽股份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关于对广东星徽精密制造股份有限公司及其控股股东广东星野投资有限责任公司、实际控制人蔡耿锡、谢晓华的监管函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广东星徽精密制造股份有限公司、广东星野投资有限责任公司、蔡耿锡、谢晓华</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光峰科技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关于深圳光峰科技股份有限公司的监管工作函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深圳光峰科技股份有限公司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*ST众应</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关于对周万沅给予通报批评处分的决定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周万沅</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陆家嘴</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关于对上海陆家嘴金融贸易区开发股份有限公司时任监事李旻坤予以监管警示的决定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李旻坤</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时任监事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2021/07/19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华联综超</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关于北京华联综合超市股份有限公司控股股东股份质押事项的监管工作函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北京华联综合超市股份有限公司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华夏幸福</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关于对华夏幸福基业股份有限公司及有关责任人予以监管警示的决定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未及时披露业绩预告（快报）,董监高未勤勉尽责</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华夏幸福基业股份有限公司、王文学、吴向东、吴中兵、林成红、陈世敏</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公司本身,时任高管,时任董事长,时任独董,时任董秘,时任财务总监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香飘飘</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关于对香飘飘食品股份有限公司及时任董事会秘书邹勇坚予以监管警示的决定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董监高未勤勉尽责,未持续披露事项进展</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香飘飘食品股份有限公司、邹勇坚</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纽威股份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关于对苏州纽威阀门股份有限公司及时任财务总监兼董事会秘书凌蕾菁予以监管警示的决定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董监高未勤勉尽责,未按规定披露重大诉讼和仲裁,未及时披露临时公告,未持续披露事项进展</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苏州纽威阀门股份有限公司、凌蕾菁</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ST目药</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关于对杭州天目山药业股份有限公司股东李俊凤、李洪辛、李杰予以监管警示的决定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限制期买卖股票,超比例违规增持,股份增持披露不规范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李俊凤、李洪辛、李杰</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蓝焰控股</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关于对山西蓝焰控股股份有限公司的监管函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未按规定披露大额政府补贴</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山西蓝焰控股股份有限公司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秦安股份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关于对重庆秦安机电股份有限公司及时任财务总监许峥予以监管警示的决定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董监高未勤勉尽责,信息披露不准确,信息披露不完整,其他会计处理不规范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重庆秦安机电股份有限公司、许峥</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九鼎投资</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关于对昆吾九鼎投资控股股份有限公司及时任董事会秘书易凌杰予以监管警示的决定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提供担保不规范,董监高未勤勉尽责,未按规定提交董事会审议,未及时披露临时公告</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昆吾九鼎投资控股股份有限公司、易凌杰</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公司本身,时任董秘</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天翔环境</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关于对成都天翔环境股份有限公司股东邓亲华的监管函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邓亲华</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7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鼎胜新材</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关于对江苏鼎胜新能源材料股份有限公司、控股股东杭州鼎胜实业集团有限公司及有关责任人予以通报批评的决定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江苏鼎胜新能源材料股份有限公司、杭州鼎胜实业集团有限公司、周贤海、王诚、李香、宋阳春</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公司本身,实际控制人,时任董事长,时任董秘,时任总经理,时任财务总监,控股股东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中天科技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关于江苏中天科技股份有限公司重大风险事项的监管工作函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江苏中天科技股份有限公司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搜于特</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关于对搜于特集团股份有限公司控股股东马鸿及其一致行动人广东兴原投资有限公司的监管函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超比例违规减持</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马鸿、广东兴原投资有限公司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ST大有</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关于对河南大有能源股份有限公司、控股股东义马煤业集团股份有限公司及有关责任人予以纪律处分的决定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河南大有能源股份有限公司、义马煤业集团股份有限公司、吴同性、任春星、张林、张五星、谭洪涛、张建强</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公司本身,时任董事长,时任董秘,时任总经理,时任财务总监,控股股东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通报批评,公开谴责</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荣联科技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关于对荣联科技集团股份有限公司的监管函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信息披露不准确</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荣联科技集团股份有限公司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凯乐科技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关于湖北凯乐科技股份有限公司涉及重大诉讼及相关风险事项的监管工作函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湖北凯乐科技股份有限公司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2021/07/23</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汇鸿集团</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关于江苏汇鸿国际集团股份有限公司的监管工作函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江苏汇鸿国际集团股份有限公司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富邦股份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关于对湖北富邦科技股份有限公司及相关当事人给予通报批评处分的决定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关联方资金占用违规,董监高未勤勉尽责</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湖北富邦科技股份有限公司、王仁宗、方胜玲、应城市富邦科技有限公司、武汉长江创富投资有限公司、严伟</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公司本身,董事长,实际控制人,时任高管,总经理,控股股东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2021/07/26</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富邦股份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关于对武汉禾大科技有限公司的监管函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关联方资金占用违规</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武汉禾大科技有限公司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其他关系方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派林生物</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关于对周海燕、吴曹娟、李勇的监管函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限制期买卖股票</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周海燕、吴曹娟、李勇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自然人股东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和科达</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关于对深圳市和科达精密清洗设备股份有限公司的监管函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未及时披露更正业绩预告（快报）,预计盈利实际亏损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深圳市和科达精密清洗设备股份有限公司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*ST邦讯</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关于对邦讯技术股份有限公司控股股东、董事长兼总经理张庆文的监管函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敏感期买卖</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张庆文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董事长,实际控制人,总经理,控股股东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福成股份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关于对河北福成五丰食品股份有限公司实际控制人李福成予以监管警示的决定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短线交易,其他,信息披露不准确,信息披露不完整</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李福成</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实际控制人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欧菲光</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关于对欧菲光集团股份有限公司及相关当事人给予通报批评处分的决定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未及时披露更正业绩预告（快报）,董监高未勤勉尽责,预计盈利实际亏损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欧菲光集团股份有限公司、赵伟、曾兆豪</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春光科技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关于对金华春光橡塑科技股份有限公司时任总经理陈凯予以监管警示的决定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重大事项消息泄露,信息披露不准确,信息披露不完整,信息披露违反公平原则</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陈凯</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2021/07/27</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朗博科技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关于对常州朗博密封科技股份有限公司时任董事兼总经理戚淦超予以公开谴责的决定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董监高未勤勉尽责,三会运作流程不规范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戚淦超</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时任董事,时任总经理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ST安信</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关于安信信托股份有限公司的监管工作函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需明确监管要求的相关事项</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安信信托股份有限公司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昊华能源</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关于对北京昊华能源股份有限公司及有关责任人予以公开谴责的决定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董监高未勤勉尽责,信息披露不准确,定期报告信息更正不及时</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北京昊华能源股份有限公司、耿养谋、关杰、鲍霞</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公司本身,时任高管,时任董事长,时任董事,时任董秘,时任财务总监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公开谴责</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*ST索菱</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关于对深圳市索菱实业股份有限公司及相关当事人给予通报批评处分的决定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未及时披露更正业绩预告（快报）,董监高未勤勉尽责,下跌幅度差异较大</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深圳市索菱实业股份有限公司、盛家方、蔡新辉</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如意集团</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关于对山东如意毛纺服装集团股份有限公司的监管函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受督促后仍不履行义务</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山东如意毛纺服装集团股份有限公司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15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2021/07/29</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*ST众应</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关于对众应互联科技股份有限公司及相关当事人给予通报批评处分的决定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未及时披露更正业绩预告（快报）,董监高未勤勉尽责,下跌幅度差异较大</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众应互联科技股份有限公司、李化亮、朱恩乐、潘晨怡</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公司本身,财务总监,董事长,总经理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蓝晓科技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关于对西安蓝晓科技新材料股份有限公司的监管函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信息披露不准确,信息披露不完整</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西安蓝晓科技新材料股份有限公司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5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金冠股份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关于对洛阳古都资产管理有限公司的监管函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股票冻结不规范,未及时披露临时公告</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洛阳古都资产管理有限公司</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14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瑞普生物</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关于对天津瑞普生物技术股份有限公司及相关当事人的监管函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提供财务资助不规范,关联方资金占用违规,未按规定提交董事会审议,未及时披露临时公告,其他会计处理不规范</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天津瑞普生物技术股份有限公司、李守军、徐雷</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公司本身,董事,实际控制人,高管,控股股东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书面警示</w:t>
            </w:r>
          </w:p>
        </w:tc>
      </w:tr>
      <w:tr>
        <w:tblPrEx>
          <w:tblCellMar>
            <w:top w:w="0" w:type="dxa"/>
            <w:left w:w="0" w:type="dxa"/>
            <w:bottom w:w="0" w:type="dxa"/>
            <w:right w:w="0" w:type="dxa"/>
          </w:tblCellMar>
        </w:tblPrEx>
        <w:trPr>
          <w:trHeight w:val="86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2021/07/30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藏格控股</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关于对藏格控股股份有限公司董事、总经理肖瑶给予通报批评处分的决定</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青海</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未按规定披露实控人、董监高情况</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肖瑶</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董事,总经理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通报批评</w:t>
            </w:r>
          </w:p>
        </w:tc>
      </w:tr>
    </w:tbl>
    <w:p>
      <w:pPr>
        <w:rPr>
          <w:color w:val="auto"/>
          <w:sz w:val="28"/>
          <w:szCs w:val="28"/>
        </w:rPr>
        <w:sectPr>
          <w:pgSz w:w="16838" w:h="11906" w:orient="landscape"/>
          <w:pgMar w:top="1800" w:right="1440" w:bottom="1800" w:left="1440" w:header="851" w:footer="992" w:gutter="0"/>
          <w:cols w:space="425" w:num="1"/>
          <w:docGrid w:type="lines" w:linePitch="312" w:charSpace="0"/>
        </w:sectPr>
      </w:pPr>
    </w:p>
    <w:p>
      <w:pPr>
        <w:pStyle w:val="2"/>
        <w:bidi w:val="0"/>
        <w:rPr>
          <w:rFonts w:hint="default"/>
          <w:color w:val="C00000"/>
          <w:lang w:val="en-US" w:eastAsia="zh-CN"/>
        </w:rPr>
      </w:pPr>
      <w:bookmarkStart w:id="27" w:name="_Toc16701"/>
      <w:r>
        <w:rPr>
          <w:rFonts w:hint="eastAsia" w:ascii="仿宋_GB2312" w:hAnsi="仿宋_GB2312" w:eastAsia="仿宋_GB2312" w:cs="仿宋_GB2312"/>
          <w:b/>
          <w:bCs/>
          <w:color w:val="C00000"/>
          <w:sz w:val="28"/>
          <w:szCs w:val="28"/>
          <w:lang w:val="en-US" w:eastAsia="zh-CN"/>
        </w:rPr>
        <w:t xml:space="preserve">◆ </w:t>
      </w:r>
      <w:r>
        <w:rPr>
          <w:rFonts w:hint="eastAsia"/>
          <w:color w:val="C00000"/>
          <w:lang w:val="en-US" w:eastAsia="zh-CN"/>
        </w:rPr>
        <w:t>法律规则</w:t>
      </w:r>
      <w:bookmarkEnd w:id="27"/>
    </w:p>
    <w:p>
      <w:pPr>
        <w:pStyle w:val="3"/>
        <w:bidi w:val="0"/>
        <w:ind w:firstLine="482" w:firstLineChars="200"/>
        <w:rPr>
          <w:rFonts w:hint="eastAsia"/>
          <w:color w:val="auto"/>
          <w:lang w:val="en-US" w:eastAsia="zh-CN"/>
        </w:rPr>
      </w:pPr>
      <w:bookmarkStart w:id="28" w:name="_Toc21502"/>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中共中央办公厅、国务院办公厅</w:t>
      </w:r>
      <w:bookmarkEnd w:id="28"/>
    </w:p>
    <w:p>
      <w:pPr>
        <w:pStyle w:val="4"/>
        <w:bidi w:val="0"/>
        <w:ind w:firstLine="964" w:firstLineChars="400"/>
        <w:rPr>
          <w:rFonts w:hint="eastAsia"/>
          <w:color w:val="auto"/>
          <w:lang w:val="en-US" w:eastAsia="zh-CN"/>
        </w:rPr>
      </w:pPr>
      <w:bookmarkStart w:id="29" w:name="_Toc27874"/>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《关于依法从严打击证券违法活动的意见》（7月6日发布）</w:t>
      </w:r>
      <w:bookmarkEnd w:id="29"/>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明确完善证券监管执法总体目标。到2022年，资本市场违法犯罪法律责任制度体系建设取得重要进展，资本市场秩序明显改善。到2025年，资本市场法律体系更加科学完备，崇法守信、规范透明、开放包容的良好资本市场生态全面形成。</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二是完善资本市场违法犯罪法律责任制度体系。提高证券领域立法效率，增强法律供给及时性。</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三是健全依法从严打击证券违法活动的执法司法体制机制。成立相关协调工作小组，加大协调力度、完善信息共享，压实境外上市公司信息安全主体责任等。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四是强化重大证券违法犯罪案件惩治。坚持分类监管、精准打击，依法从严从快从重查处欺诈发行、虚假陈述、操纵市场、内幕交易等重大违法案件等。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五是进一步加强跨境监管执法司法协作。完善数据安全、跨境数据流动、涉密信息管理等相关法律法规等。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六是着力提升证券执法司法能力和专业化水平。加强证券执法力量，优化证券稽查执法机制设置，充分发挥当事人承诺制度功能等。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意见》围绕打造一个规范、透明、开放、有活力、有韧性的资本市场总目标，明确将“建制度、不干预、零容忍”九字方针作为资本市场执法司法的指导思想，完善了中国特色证券执法司法体制机制的顶层设计，为加快健全证券执法司法体制机制，加大重大违法案件查处惩治力度，夯实资本市场法治基础作出了重要部署。这是我国历史上第一次以中办、国办名义联合发布的打击证券违法活动的专门文件，规格之高前所未有。《意见》是我国资本市场当前和今后一个时期全方位加强和改进证券监管执法工作的纲领性文件，意义重大、影响深远。</w:t>
      </w:r>
    </w:p>
    <w:p>
      <w:pPr>
        <w:pStyle w:val="3"/>
        <w:bidi w:val="0"/>
        <w:ind w:firstLine="482" w:firstLineChars="200"/>
        <w:rPr>
          <w:rFonts w:hint="default"/>
          <w:color w:val="auto"/>
          <w:lang w:val="en-US" w:eastAsia="zh-CN"/>
        </w:rPr>
      </w:pPr>
      <w:bookmarkStart w:id="30" w:name="_Toc5426"/>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中国证监会</w:t>
      </w:r>
      <w:bookmarkEnd w:id="30"/>
    </w:p>
    <w:p>
      <w:pPr>
        <w:pStyle w:val="4"/>
        <w:bidi w:val="0"/>
        <w:ind w:firstLine="1285" w:firstLineChars="400"/>
        <w:rPr>
          <w:rFonts w:hint="eastAsia"/>
          <w:color w:val="auto"/>
          <w:lang w:val="en-US" w:eastAsia="zh-CN"/>
        </w:rPr>
      </w:pPr>
      <w:bookmarkStart w:id="31" w:name="_Toc20479"/>
      <w:r>
        <w:rPr>
          <w:rFonts w:hint="eastAsia"/>
          <w:color w:val="auto"/>
          <w:lang w:val="en-US" w:eastAsia="zh-CN"/>
        </w:rPr>
        <w:t>• 《公开发行证券的公司信息披露内容与格式准则第3号——半年度报告的内容与格式（2021年修订）》（6月28日发布）</w:t>
      </w:r>
      <w:bookmarkEnd w:id="31"/>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现公布《公开发行证券的公司信息披露内容与格式准则第3号—半年度报告的内容与格式（2021年修订）》,自公布之日起施行。</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一、修订背景</w:t>
      </w:r>
    </w:p>
    <w:p>
      <w:pPr>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现行的《半年报格式准则》是 2017 年修订的。本次修改主要解决以下三方面问题：一是落实修订后的《证券法》《信披办法》要求。新《证券法》设立了董监高对定期报告内容发表异议的制度，《信披办法》进行了相应细化，需在《半年报格式准则》中进一步落实。二是与其他相关制度做好衔接。2020 年 12 月，证监会与人民银行、发改委联合发布《公司信用类债券信息披露管理办法》（以下简称《债券信披办法》），对公开发行公司信用类债券的公司半年度报告内容与格式编制要求进行了规定，需在《半年报格式准则》中的债券章节予以吸收。三是强化突出问题的信息披露。结合前期实践，加强占用担保、关联财务公司存款受限等问题，以及表决权委托等方面的信息披露。另外，针对半年度报告中的行业和业务情况分析不够深入、与财务报告数据联系不够紧密，进一步明确和细化披露要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二、主要修订内容</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（一）完善管理层讨论与分析章节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一是将半年度报告正文“第三节 公司业务概要”和“第四节 经营情况讨论与分析”归并整合为修订后的“第三节 管理层讨论与分析”；二是细化对所处行业和从事业务情况的披露内容，要求公司结合行业发展、业务经营等信息有针对性的分析主要财务数据变化的原因。</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（二）新增环境和社会责任章节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一是为突出上市公司作为公众公司在环境保护、社会责任方面的工作情况，将与环境保护、社会责任有关条文统一整合至新增的“第五节 环境和社会责任”；二是要求全部上市公司披露报告期内因环境问题受到行政处罚的情况；三是为协同做好“碳达峰、碳中和”工作，鼓励公司自愿披露为减少其碳排放所采取的措施及效果；四是为协同做好乡村振兴工作，鼓励公司积极披露巩固拓展脱贫攻坚成果、乡村振兴等工作情况。</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（三）完善重要事项章节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加强占用担保常态化监管，要求公司披露资金占用和违规担保情况；二是要求公司披露与存在关联关系的财务公司、公司控股的财务公司与关联方之间在报告期内发生的具体业务情况；三是根据科创板公司关联交易的相关披露要求，新增科创板公司重大关联交易的披露内容。</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（四）调整债券相关情况章节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按照《债券信披办法》的相关规定，一是扩大披露主体范围，要求公开发行企业债券、公司债券以及银行间债券市场非金融企业债务融资工具的公司都应当以专门章节披露债券相关情况；二是扩大债券种类的披露范围，公司应当披露在半年度报告批准报出日存续的债券情况，同时，简化并调整了债券情况的披露内容。</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（五）其他修改</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一是将与公司治理有关的条文进行了梳理，统一整合至新增的“第四节 公司治理”；二是为避免信息冗余，在总则中明确相关信息已在临时报告披露且后续无进展或变化的，可以仅披露相关情况概述；三是要求公司披露前 10 名股东存在的委托表决权、受托表决权、放弃表决权情况。公司存在表决权差异安排的，要求披露表决权比例前 10 名的股东情况；四是明确回购专户不纳入前 10 名股东进行列示；五是删除半年度报告摘要中的“经营情况讨论与分析”章节，要求公司对报告期内经营情况的重大变化和对经营情况有重大影响的事项进行分析。</w:t>
      </w:r>
    </w:p>
    <w:p>
      <w:pPr>
        <w:pStyle w:val="4"/>
        <w:bidi w:val="0"/>
        <w:ind w:firstLine="964" w:firstLineChars="400"/>
        <w:rPr>
          <w:rFonts w:hint="eastAsia"/>
          <w:color w:val="auto"/>
          <w:lang w:val="en-US" w:eastAsia="zh-CN"/>
        </w:rPr>
      </w:pPr>
      <w:bookmarkStart w:id="32" w:name="_Toc7757"/>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《关于注册制下督促证券公司从事投行业务归位尽责的指导意见》（中国证券监督管理委员会公告〔2021〕17号）（7月9日发布）</w:t>
      </w:r>
      <w:bookmarkEnd w:id="32"/>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建立健全工作机制，提升监管合力。建立由会机关部门、证监局、自律组织共同参与的投行业务监管联席会议机制，完善机构监管与业务监管、行政监管与自律监管、日常监管与稽查执法的协作配合，提升监管合力和监管效能。</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完善制度规则，提升监管和执业的规范化水平。按照“尊重注册制基本内涵、借鉴国际最佳实践、体现中国特色和发展阶段特征”的三原则，强化投行执业标准体系建设，完善投行业务监管规则。进一步厘清各中介机构的责任边界。</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全面强化立体追责，净化市场生态。扩大现场检查和督导面，坚持“申报即担责”的原则，坚决杜绝“带病闯关”的行为。建立投行业务违规问题台帐、前移问责关口、加大行政监管力度，并用好行政处罚、刑事追责、民事赔偿等手段。</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四是做实“三道防线”，强化机构内部控制。压实证券公司主要负责人、高管的管理责任。落实对投行业务各环节责任人员穿透式监管和全链条问责等。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五是完善激励约束机制，促进证券公司主动归位尽责。推动建立证券公司执业质量评价机制、投行业务执业质量评价系统。突出“奖优限劣”、调整优化证券公司分类评价中投行业务评价指标等。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新《证券法》的实施以及股票发行注册制的全面推进，进一步要求证券公司贯彻好监管部门对其在发行上市过程中核查把关的责任要求。认定保荐机构责任的核心在于判断保荐机构是否“勤勉尽责”以及保荐机构与其他中介机构之间的责任区分，这在制度上还需要细化，也需要在行政监管和司法审判领域的实践中不断探索，逐步厘清各中介机构之间的责任界限。督促保荐机构归位尽责，需要监管环境、制度规则、市场约束等方面共同努力。</w:t>
      </w:r>
    </w:p>
    <w:p>
      <w:pPr>
        <w:pStyle w:val="4"/>
        <w:bidi w:val="0"/>
        <w:ind w:firstLine="964" w:firstLineChars="400"/>
        <w:rPr>
          <w:rFonts w:hint="eastAsia"/>
          <w:color w:val="auto"/>
          <w:lang w:val="en-US" w:eastAsia="zh-CN"/>
        </w:rPr>
      </w:pPr>
      <w:bookmarkStart w:id="33" w:name="_Toc10608"/>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《期货公司子公司管理暂行办法（征求意见稿）》公开征求意见（7月9日发布）</w:t>
      </w:r>
      <w:bookmarkEnd w:id="33"/>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一是聚焦解决突出问题。重点解决对境外子公司规范、期货公司对子公司有效管控、行政介入的法律依据等突出问题，重点突破子公司业务健康发展中存在的瓶颈。</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二是规范主体行为与预留发展空间相统一。既对子公司现存的问题予以规范，同时为子公司发展留足空间。</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三是体现聚焦主业、提升服务能力的政策导向。引导行业发挥专业优势、聚焦主业，提升行业服务实体经济能力。</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随着期货公司子公司在机构设置和业务开展方面快速发展，行业发展与有效监管、风险防范等不相适应的问题凸显。《办法》的出台，进一步明确子公司的设立条件、业务范围、层级和数量，对境外子公司进行全面、系统地规范，并进一步压实期货公司对子公司管控责任。</w:t>
      </w:r>
    </w:p>
    <w:p>
      <w:pPr>
        <w:pStyle w:val="4"/>
        <w:bidi w:val="0"/>
        <w:ind w:firstLine="964" w:firstLineChars="400"/>
        <w:rPr>
          <w:rFonts w:hint="eastAsia"/>
          <w:color w:val="auto"/>
          <w:lang w:val="en-US" w:eastAsia="zh-CN"/>
        </w:rPr>
      </w:pPr>
      <w:bookmarkStart w:id="34" w:name="_Toc3924"/>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《证券期货违法行为行政处罚办法》（中国证券监督管理委员会令第186号）（7月15日发布）</w:t>
      </w:r>
      <w:bookmarkEnd w:id="34"/>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一是明确立案程序和执法权限。进一步明确、细化了执法权限和措施，包括冻结、查封、扣押、封存、限制出境、限制交易、要求有关主体报送文件资料等措施的实施，以及不配合调查的情形及后果。</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二是规范调查取证行为。进一步明确了物证、书证、当事人陈述、电子数据等主要证据类型的调查取证标准和要求，规范案件调查取证工作等。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三是完善查审机制。实行“查审分离模式”，证监会设立行政处罚委员会，对按照规定向其移交的案件提出审理意见、进行法制审核。</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四是落实行政执法“三项制度”。强调行政执法公示制度、执法全过程记录制度、重大执法法制审核制度的行政执法“三项制度”。</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五是加强对当事人的权利保障和对执法人员的监督。行政处罚决定作出前，应当向当事人送达行政处罚事先告知书，并依法保障当事人的陈述申辩、听证、阅卷等权利，并明确执法人员的基本原则和基本规范。</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对证券违法违规行为进行行政处罚，是证券监管部门的重要法定职责，是维护资本市场秩序、惩治证券违法活动、保护广大投资者合法权益的主要手段。《处罚办法》首次在部门规章层面对证券监管部门的行政处罚行为进行统一规制，补齐了证券监管执法的制度短板。既是对《行政处罚法》《证券法》等法律法规的具体落实，也是对近年来证券执法实践需求的切实回应，具有极强的程序规范意义。</w:t>
      </w:r>
    </w:p>
    <w:p>
      <w:pPr>
        <w:pStyle w:val="3"/>
        <w:bidi w:val="0"/>
        <w:ind w:firstLine="482" w:firstLineChars="200"/>
        <w:rPr>
          <w:rFonts w:hint="default"/>
          <w:color w:val="auto"/>
          <w:lang w:val="en-US" w:eastAsia="zh-CN"/>
        </w:rPr>
      </w:pPr>
      <w:bookmarkStart w:id="35" w:name="_Toc19314"/>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沪深交易所</w:t>
      </w:r>
      <w:bookmarkEnd w:id="35"/>
    </w:p>
    <w:p>
      <w:pPr>
        <w:pStyle w:val="4"/>
        <w:bidi w:val="0"/>
        <w:ind w:firstLine="964" w:firstLineChars="400"/>
        <w:rPr>
          <w:rFonts w:hint="eastAsia" w:ascii="仿宋_GB2312" w:hAnsi="仿宋_GB2312" w:eastAsia="仿宋_GB2312" w:cs="仿宋_GB2312"/>
          <w:b w:val="0"/>
          <w:bCs w:val="0"/>
          <w:color w:val="auto"/>
          <w:sz w:val="28"/>
          <w:szCs w:val="28"/>
          <w:lang w:val="en-US" w:eastAsia="zh-CN"/>
        </w:rPr>
      </w:pPr>
      <w:bookmarkStart w:id="36" w:name="_Toc686"/>
      <w:r>
        <w:rPr>
          <w:rFonts w:hint="eastAsia" w:ascii="仿宋_GB2312" w:hAnsi="仿宋_GB2312" w:eastAsia="仿宋_GB2312" w:cs="仿宋_GB2312"/>
          <w:bCs/>
          <w:color w:val="auto"/>
          <w:sz w:val="24"/>
          <w:szCs w:val="24"/>
          <w:lang w:val="en-US" w:eastAsia="zh-CN"/>
        </w:rPr>
        <w:t xml:space="preserve">• </w:t>
      </w:r>
      <w:r>
        <w:rPr>
          <w:rFonts w:hint="eastAsia"/>
          <w:color w:val="auto"/>
          <w:lang w:val="en-US" w:eastAsia="zh-CN"/>
        </w:rPr>
        <w:t>深圳证券交易所证券交易业务指南第1号——投资者适当性管理（2021年修订）（7月2日发布）</w:t>
      </w:r>
      <w:bookmarkEnd w:id="36"/>
      <w:r>
        <w:rPr>
          <w:rFonts w:hint="eastAsia"/>
          <w:color w:val="auto"/>
          <w:lang w:val="en-US" w:eastAsia="zh-CN"/>
        </w:rPr>
        <w:br w:type="textWrapping"/>
      </w:r>
      <w:r>
        <w:rPr>
          <w:rFonts w:hint="eastAsia"/>
          <w:color w:val="auto"/>
          <w:lang w:val="en-US" w:eastAsia="zh-CN"/>
        </w:rPr>
        <w:t xml:space="preserve">    </w:t>
      </w:r>
      <w:r>
        <w:rPr>
          <w:rFonts w:hint="eastAsia" w:ascii="仿宋_GB2312" w:hAnsi="仿宋_GB2312" w:eastAsia="仿宋_GB2312" w:cs="仿宋_GB2312"/>
          <w:b w:val="0"/>
          <w:bCs w:val="0"/>
          <w:color w:val="auto"/>
          <w:sz w:val="28"/>
          <w:szCs w:val="28"/>
          <w:lang w:val="en-US" w:eastAsia="zh-CN"/>
        </w:rPr>
        <w:t>为进一步做好投资者适当性管理工作，深交所对《深圳证券交易所证券交易业务指南第1号——投资者适当性管理》进行了修订，现予以发布施行，深交所于2020年12月11日发布的《深圳证券交易所证券交易业务指南第1号——投资者适当性管理》同时废止。</w:t>
      </w:r>
    </w:p>
    <w:p>
      <w:pPr>
        <w:pStyle w:val="4"/>
        <w:bidi w:val="0"/>
        <w:ind w:firstLine="964" w:firstLineChars="400"/>
        <w:rPr>
          <w:rFonts w:hint="eastAsia" w:ascii="仿宋_GB2312" w:hAnsi="仿宋_GB2312" w:eastAsia="仿宋_GB2312" w:cs="仿宋_GB2312"/>
          <w:b w:val="0"/>
          <w:bCs w:val="0"/>
          <w:color w:val="auto"/>
          <w:sz w:val="28"/>
          <w:szCs w:val="28"/>
          <w:lang w:val="en-US" w:eastAsia="zh-CN"/>
        </w:rPr>
      </w:pPr>
      <w:bookmarkStart w:id="37" w:name="_Toc15205"/>
      <w:r>
        <w:rPr>
          <w:rFonts w:hint="eastAsia" w:ascii="仿宋_GB2312" w:hAnsi="仿宋_GB2312" w:eastAsia="仿宋_GB2312" w:cs="仿宋_GB2312"/>
          <w:bCs/>
          <w:color w:val="auto"/>
          <w:sz w:val="24"/>
          <w:szCs w:val="24"/>
          <w:lang w:val="en-US" w:eastAsia="zh-CN"/>
        </w:rPr>
        <w:t xml:space="preserve">• </w:t>
      </w:r>
      <w:r>
        <w:rPr>
          <w:rFonts w:hint="eastAsia" w:asciiTheme="minorHAnsi" w:hAnsiTheme="minorHAnsi" w:eastAsiaTheme="minorEastAsia" w:cstheme="minorBidi"/>
          <w:b/>
          <w:color w:val="auto"/>
          <w:kern w:val="2"/>
          <w:sz w:val="32"/>
          <w:szCs w:val="24"/>
          <w:lang w:val="en-US" w:eastAsia="zh-CN" w:bidi="ar-SA"/>
        </w:rPr>
        <w:t>中国证券登记结算有限责任公司、上海证券交易所、深圳证券交易所债券质押式回购交易结算风险控制指引（2021年修订）（7月9日发布）</w:t>
      </w:r>
      <w:bookmarkEnd w:id="37"/>
      <w:r>
        <w:rPr>
          <w:rFonts w:hint="eastAsia" w:asciiTheme="minorHAnsi" w:hAnsiTheme="minorHAnsi" w:eastAsiaTheme="minorEastAsia" w:cstheme="minorBidi"/>
          <w:b/>
          <w:color w:val="auto"/>
          <w:kern w:val="2"/>
          <w:sz w:val="32"/>
          <w:szCs w:val="24"/>
          <w:lang w:val="en-US" w:eastAsia="zh-CN" w:bidi="ar-SA"/>
        </w:rPr>
        <w:br w:type="textWrapping"/>
      </w:r>
      <w:r>
        <w:rPr>
          <w:rFonts w:hint="eastAsia" w:cstheme="minorBidi"/>
          <w:b/>
          <w:color w:val="auto"/>
          <w:kern w:val="2"/>
          <w:sz w:val="32"/>
          <w:szCs w:val="24"/>
          <w:lang w:val="en-US" w:eastAsia="zh-CN" w:bidi="ar-SA"/>
        </w:rPr>
        <w:t xml:space="preserve">    </w:t>
      </w:r>
      <w:r>
        <w:rPr>
          <w:rFonts w:hint="eastAsia" w:ascii="仿宋_GB2312" w:hAnsi="仿宋_GB2312" w:eastAsia="仿宋_GB2312" w:cs="仿宋_GB2312"/>
          <w:b w:val="0"/>
          <w:bCs w:val="0"/>
          <w:color w:val="auto"/>
          <w:sz w:val="28"/>
          <w:szCs w:val="28"/>
          <w:lang w:val="en-US" w:eastAsia="zh-CN"/>
        </w:rPr>
        <w:t>为进一步健全债券质押式回购业务交易结算风险管理机制，保护投资者利益，规范各市场参与主体行为，明确各方职责，根据《证券法》《公司债券发行与交易管理办法》等法律法规，中国证券登记结算有限责任公司、上海证券交易所、深圳证券交易所联合对《中国证券登记结算有限责任公司上海证券交易所深圳证券交易所债券质押式回购交易结算风险控制指引》进行了修订（以下简称《风控指引（2021年修订版）》），现予发布。</w:t>
      </w:r>
      <w:bookmarkStart w:id="38" w:name="_Toc21100"/>
    </w:p>
    <w:p>
      <w:pPr>
        <w:ind w:firstLine="560"/>
        <w:rPr>
          <w:rFonts w:hint="eastAsia" w:asciiTheme="minorHAnsi" w:hAnsiTheme="minorHAnsi" w:eastAsiaTheme="minorEastAsia" w:cstheme="minorBidi"/>
          <w:b/>
          <w:color w:val="auto"/>
          <w:kern w:val="2"/>
          <w:sz w:val="32"/>
          <w:szCs w:val="24"/>
          <w:lang w:val="en-US" w:eastAsia="zh-CN" w:bidi="ar-SA"/>
        </w:rPr>
      </w:pPr>
      <w:r>
        <w:rPr>
          <w:rFonts w:hint="eastAsia" w:asciiTheme="minorHAnsi" w:hAnsiTheme="minorHAnsi" w:eastAsiaTheme="minorEastAsia" w:cstheme="minorBidi"/>
          <w:b/>
          <w:color w:val="auto"/>
          <w:kern w:val="2"/>
          <w:sz w:val="32"/>
          <w:szCs w:val="24"/>
          <w:lang w:val="en-US" w:eastAsia="zh-CN" w:bidi="ar-SA"/>
        </w:rPr>
        <w:t>• 关于发布《上海证券交易所公司债券发行上市审核规则适用指引第2号——特定品种公司债券（2021年修订）》的通知（上证发〔2021〕52号）（7月13日发布）</w:t>
      </w:r>
      <w:bookmarkEnd w:id="38"/>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一是贯彻落实“创新、协调、绿色、开放、共享”的发展理念，进一步发挥公司债券服务实体经济、服务国家战略功能。</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二是规范特定品种公司债券发行上市申请和挂牌转让相关业务行为，便利发行人和中介机构编制相关项目发行申请文件并做好信息披露及存续期管理相关工作。</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本次《指引》的修订是进一步服务国家低碳发展、乡村振兴及海洋资源可持续利用等目标，加强引导资金投向国家支持领域的重要举措。《指引》在绿色公司债券方面，首次明确了“碳中和绿色债券”“蓝色债券”等子品种相关安排，并优化了绿色债券募集资金使用和信息披露等要求。同时，对照国务院以及证监会等文件要求，将原“扶贫公司债券”整体修订为“乡村振兴公司债券”，明确了乡村振兴公司债券发行主体、募集资金用途及信息披露等相关安排。</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（同日，深圳证券交易所发布《深圳证券交易所公司债券创新品种业务指引第1号——绿色公司债券》《深圳证券交易所公司债券创新品种业务指引第3号——乡村振兴专项公司债券》（深证上〔2021〕684号））</w:t>
      </w:r>
      <w:bookmarkStart w:id="39" w:name="_Toc29830"/>
    </w:p>
    <w:p>
      <w:pPr>
        <w:ind w:firstLine="560"/>
        <w:rPr>
          <w:rFonts w:hint="eastAsia" w:asciiTheme="minorHAnsi" w:hAnsiTheme="minorHAnsi" w:eastAsiaTheme="minorEastAsia" w:cstheme="minorBidi"/>
          <w:b/>
          <w:color w:val="auto"/>
          <w:kern w:val="2"/>
          <w:sz w:val="32"/>
          <w:szCs w:val="24"/>
          <w:lang w:val="en-US" w:eastAsia="zh-CN" w:bidi="ar-SA"/>
        </w:rPr>
      </w:pPr>
      <w:r>
        <w:rPr>
          <w:rFonts w:hint="eastAsia" w:asciiTheme="minorHAnsi" w:hAnsiTheme="minorHAnsi" w:eastAsiaTheme="minorEastAsia" w:cstheme="minorBidi"/>
          <w:b/>
          <w:color w:val="auto"/>
          <w:kern w:val="2"/>
          <w:sz w:val="32"/>
          <w:szCs w:val="24"/>
          <w:lang w:val="en-US" w:eastAsia="zh-CN" w:bidi="ar-SA"/>
        </w:rPr>
        <w:t>• 关于发布《上海证券交易所科创板发行上市审核业务指南第3号——业务咨询沟通》的通知（上证函〔2021〕1193号）（7月16日发布）</w:t>
      </w:r>
      <w:bookmarkEnd w:id="39"/>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一是明确咨询沟通的适用范围，包括申报前的咨询沟通、首轮问询函发出后的咨询沟通和上市委审议会议后的咨询沟通三个环节。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二是明确咨询沟通方式和保荐把关要求，咨询沟通一般应选择书面咨询方式，问题复杂确需当面沟通的，可预约现场咨询。保荐人应对咨询沟通问题及材料进行核查分析和把关。</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三是明确沟通咨询的回复要求，科创板审核机构收到咨询沟通材料后，应及时进行分析研究，在规定的时限内予以回复，给出明确的意见和建议。</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四是明确纪律和监督要求，业务咨询沟通全程接受纪检监督，参与业务咨询沟通的人员应严格遵守廉政纪律、工作纪律和保密纪律。</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此次《指南》的制定，旨在进一步健全咨询沟通机制，提高审核公开透明度，服务市场主体需求。《指南》就申报前、首轮问询函发出后及上市委审议会议后三个环节的业务咨询沟通予以细化，对进一步规范科创板发行上市审核相关业务咨询沟通、及时解决重大疑难问题、提高申报和审核质量等具有重要意义。</w:t>
      </w:r>
    </w:p>
    <w:p>
      <w:pPr>
        <w:pStyle w:val="4"/>
        <w:bidi w:val="0"/>
        <w:ind w:firstLine="964" w:firstLineChars="300"/>
        <w:rPr>
          <w:rFonts w:hint="eastAsia"/>
          <w:color w:val="auto"/>
          <w:lang w:val="en-US" w:eastAsia="zh-CN"/>
        </w:rPr>
      </w:pPr>
      <w:bookmarkStart w:id="40" w:name="_Toc6299"/>
      <w:r>
        <w:rPr>
          <w:rFonts w:hint="eastAsia"/>
          <w:color w:val="auto"/>
          <w:lang w:val="en-US" w:eastAsia="zh-CN"/>
        </w:rPr>
        <w:t>• 关于修订《上海证券交易所信用保护工具交易业务指南》的通知（上证函〔2021〕1178号）（7月19日发布）</w:t>
      </w:r>
      <w:bookmarkEnd w:id="40"/>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一是明确信用保护工具的定义及其分类，由卖方就约定的一个或多个参考实体或其符合特定债务种类和债务特征的一个或多个、一类或多类债务向买方提供信用风险保护的金融工具。</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二是明确业务开展前、程序中及后续结算的相关安排，具体从业务开展前准备、合约业务流程、凭证业务流程、信息披露以及后续结算安排等方面予以明确。</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三是明确信用保护工具的费用及业务联系信息，明确交易经手费的收费标准以及上交所债券业务中心的联系人信息。</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指南》在信用保护工具业务实践基础上进行修订，较为系统的明确了信用保护工具相关具体业务，为市场主体开展信用保护工具业务提供了规范，为信用保护工具市场的参与者了解和熟悉该类业务提供了便利。</w:t>
      </w:r>
    </w:p>
    <w:p>
      <w:pPr>
        <w:pStyle w:val="4"/>
        <w:bidi w:val="0"/>
        <w:ind w:firstLine="643" w:firstLineChars="200"/>
        <w:rPr>
          <w:rFonts w:hint="eastAsia"/>
          <w:color w:val="auto"/>
          <w:lang w:val="en-US" w:eastAsia="zh-CN"/>
        </w:rPr>
      </w:pPr>
      <w:bookmarkStart w:id="41" w:name="_Toc3429"/>
      <w:r>
        <w:rPr>
          <w:rFonts w:hint="eastAsia"/>
          <w:color w:val="auto"/>
          <w:lang w:val="en-US" w:eastAsia="zh-CN"/>
        </w:rPr>
        <w:t>• 《上海证券交易所科创板发行上市审核规则适用指引第3号——转板上市申请文件》（上证发〔2021〕57号）《上海证券交易所科创板发行上市审核规则适用指引第4号——转板上市报告书内容与格式》（上证发〔2021〕58号）《上海证券交易所科创板发行上市审核规则适用指引第5号——转板上市保荐书》（上证发〔2021〕59号）（7月24日发布）</w:t>
      </w:r>
      <w:bookmarkEnd w:id="41"/>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以科创板招股说明书为基础，并体现转板上市特征。从投资者需求和科创板上市信息披露要求出发，参照科创板首发上市的规定制定转板上市报告书等相关信息披露和规范运行要求。同时，转板上市报告书在科创板招股说明书的基础上进行了适应性调整，包括明确转板上市条件和转板公司挂牌期间规范运作情况披露要求等转板上市不适用事项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坚持以投资者需求为导向，突出信息披露的重大性与针对性。结合科创板发行上市审核实践，《指引4号》对科创板招股说明书的部分信息披露要求进行了相应的精简、合并、引征，突出信息披露的重大性和针对性，便捷投资者查阅。如，扩大重大性原则的适用范围，合并部分章节等。</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充分利用新三板审核和持续监管成果，作出差异化安排。《指引4号》对在新三板市场已公开披露或审核的内容进行了简化，降低拟转板企业的披露成本。在申报文件方面，不再要求转板公司提交除公司章程外的其他设立文件，转板上市报告书亦结合转板公司的特点，作出差异化的信息披露要求。</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本次三项《指引》的发布，为今年2月发布的《全国中小企业股份转让系统挂牌公司向上海证券交易所科创板转板上市办法（试行）》提供了配套制度文件。三项《指引》分别就申请文件编制和报送、转板上市报告书的要求、保荐机构出具转板上市保荐书的行为等三个方面作出规范，也意味着上交所就新三板精选层转板上市的准备工作基本就绪。随着转板上市配套规则的发布，进一步明确转板上市相关申请文件编制、报送及信息披露等要求，为保障转板上市制度平稳落地实施保驾护航。</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同日，深圳证券交易所发布《创业板发行上市审核业务指引第3号——全国中小企业股份转让系统挂牌公司向创业板转板上市报告书内容与格式》（深证上〔2021〕726号）《创业板发行上市审核业务指引第4号——全国中小企业股份转让系统挂牌公司向创业板转板上市申请文件》（深证上〔2021〕727号）《深圳证券交易所创业板发行上市审核业务指引第5号——转板上市股份相关事项》（深证上〔2021〕730号）《创业板上市保荐书内容与格式指引（2021年修订）》（深证上〔2021〕728号）和《创业板发行上市申请文件受理指引（2021年修订）》（深证上〔2021〕729号））</w:t>
      </w:r>
    </w:p>
    <w:p>
      <w:pPr>
        <w:pStyle w:val="4"/>
        <w:bidi w:val="0"/>
        <w:ind w:firstLine="643" w:firstLineChars="200"/>
        <w:rPr>
          <w:rFonts w:hint="eastAsia"/>
          <w:color w:val="auto"/>
          <w:lang w:val="en-US" w:eastAsia="zh-CN"/>
        </w:rPr>
      </w:pPr>
      <w:bookmarkStart w:id="42" w:name="_Toc19292"/>
      <w:r>
        <w:rPr>
          <w:rFonts w:hint="eastAsia"/>
          <w:color w:val="auto"/>
          <w:lang w:val="en-US" w:eastAsia="zh-CN"/>
        </w:rPr>
        <w:t>• 《深圳证券交易所创业板发行上市审核业务指南第1号——创业板发行上市申请文件受理关注要点》等业务指南（深证上〔2021〕724号）（7月23日发布）</w:t>
      </w:r>
      <w:bookmarkEnd w:id="42"/>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是创业板发行上市申请文件受理关注要点，从创业板首次公开发行申请文件、向特定对象以及不特定对象发行证券申请文件、重大资产重组（发行股份购买资产及重组上市）申请文件等共计七个方面明确了受理关注要点。</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二是创业板首次公开发行审核关注要点，以重点关注要点落实情况表的形式对可能存在的问题、披露要求、检查要求、参考规范及落实情况予以细化。</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三是创业板上市公司向特定或不特定对象对象发行证券审核以及简易程序下的关注要点，以重点关注要点落实情况表的形式对审核关注事项、募集说明书披露要求、中介机构核查要求及落实情况予以细化。</w:t>
      </w:r>
    </w:p>
    <w:p>
      <w:pPr>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四是创业板上市公司重大资产重组审核关注要点，在《26号格式准则》大项基础上明确审核关注要点、申报文件披露要求、中介机构核查要求、落实情况，并列明规则依据文件。</w:t>
      </w:r>
    </w:p>
    <w:p>
      <w:pPr>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点评】本次发布的《业务指南》对创业板首次公开发行、再融资、重大资产重组申请文件受理、审核关注要点进行了全面修订和完善，要求券商等中介机构依据核查工作的实际开展情况填报并签字，既进一步规范了创业板上市公司首发上市、重大资产重组等各类情形下的核查要点，也对压严压实发行人信息披露主体责任和中介机构核查把关责任、提升审核标准透明度具有积极作用。</w:t>
      </w:r>
    </w:p>
    <w:p>
      <w:pPr>
        <w:rPr>
          <w:color w:val="auto"/>
          <w:sz w:val="28"/>
          <w:szCs w:val="28"/>
        </w:rPr>
      </w:pPr>
    </w:p>
    <w:p>
      <w:pPr>
        <w:rPr>
          <w:color w:val="auto"/>
          <w:sz w:val="28"/>
          <w:szCs w:val="28"/>
        </w:rPr>
      </w:pPr>
    </w:p>
    <w:p>
      <w:pPr>
        <w:rPr>
          <w:color w:val="auto"/>
          <w:sz w:val="28"/>
          <w:szCs w:val="28"/>
        </w:rPr>
      </w:pP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649B1"/>
    <w:multiLevelType w:val="singleLevel"/>
    <w:tmpl w:val="848649B1"/>
    <w:lvl w:ilvl="0" w:tentative="0">
      <w:start w:val="3"/>
      <w:numFmt w:val="decimal"/>
      <w:lvlText w:val="%1."/>
      <w:lvlJc w:val="left"/>
      <w:pPr>
        <w:tabs>
          <w:tab w:val="left" w:pos="312"/>
        </w:tabs>
      </w:pPr>
    </w:lvl>
  </w:abstractNum>
  <w:abstractNum w:abstractNumId="1">
    <w:nsid w:val="2217B4D8"/>
    <w:multiLevelType w:val="singleLevel"/>
    <w:tmpl w:val="2217B4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D6F07"/>
    <w:rsid w:val="00326256"/>
    <w:rsid w:val="02441D85"/>
    <w:rsid w:val="0D1E1F09"/>
    <w:rsid w:val="0D707E96"/>
    <w:rsid w:val="0D982AFE"/>
    <w:rsid w:val="0DFE45C7"/>
    <w:rsid w:val="103F6873"/>
    <w:rsid w:val="12384641"/>
    <w:rsid w:val="129F5B04"/>
    <w:rsid w:val="13312063"/>
    <w:rsid w:val="1924452A"/>
    <w:rsid w:val="19FC0EA1"/>
    <w:rsid w:val="1CDD6F07"/>
    <w:rsid w:val="1D5762D1"/>
    <w:rsid w:val="1D82153B"/>
    <w:rsid w:val="1DB7288F"/>
    <w:rsid w:val="1DCA13CA"/>
    <w:rsid w:val="1E223ACB"/>
    <w:rsid w:val="1F1E362D"/>
    <w:rsid w:val="1FF73CA3"/>
    <w:rsid w:val="205E5697"/>
    <w:rsid w:val="208B22F5"/>
    <w:rsid w:val="21614994"/>
    <w:rsid w:val="23A32DBC"/>
    <w:rsid w:val="254A6BC9"/>
    <w:rsid w:val="271F0A54"/>
    <w:rsid w:val="2741233A"/>
    <w:rsid w:val="27440717"/>
    <w:rsid w:val="27AB08C9"/>
    <w:rsid w:val="2A452A46"/>
    <w:rsid w:val="2E7B5BA4"/>
    <w:rsid w:val="2F897961"/>
    <w:rsid w:val="30236F9D"/>
    <w:rsid w:val="338F7EE2"/>
    <w:rsid w:val="33CD1065"/>
    <w:rsid w:val="346742E8"/>
    <w:rsid w:val="360A626C"/>
    <w:rsid w:val="361D424E"/>
    <w:rsid w:val="377350E8"/>
    <w:rsid w:val="3846392C"/>
    <w:rsid w:val="3DD17035"/>
    <w:rsid w:val="3F9206CF"/>
    <w:rsid w:val="401B1CA6"/>
    <w:rsid w:val="43C712D6"/>
    <w:rsid w:val="43D34744"/>
    <w:rsid w:val="45701838"/>
    <w:rsid w:val="47B21A09"/>
    <w:rsid w:val="493E21E8"/>
    <w:rsid w:val="49702DC0"/>
    <w:rsid w:val="4AA33128"/>
    <w:rsid w:val="4B0203C9"/>
    <w:rsid w:val="4C3424D5"/>
    <w:rsid w:val="4C722004"/>
    <w:rsid w:val="4E795AA6"/>
    <w:rsid w:val="500B3FAE"/>
    <w:rsid w:val="502150C7"/>
    <w:rsid w:val="507775C4"/>
    <w:rsid w:val="512A05F1"/>
    <w:rsid w:val="519D3234"/>
    <w:rsid w:val="51ED1F4F"/>
    <w:rsid w:val="547B4689"/>
    <w:rsid w:val="597A6B3A"/>
    <w:rsid w:val="5C59643A"/>
    <w:rsid w:val="5E242447"/>
    <w:rsid w:val="5EDA7EF9"/>
    <w:rsid w:val="5F1B0EE1"/>
    <w:rsid w:val="5F7916BB"/>
    <w:rsid w:val="5FBC2178"/>
    <w:rsid w:val="617B4CA8"/>
    <w:rsid w:val="627157F5"/>
    <w:rsid w:val="6372350B"/>
    <w:rsid w:val="640A55EE"/>
    <w:rsid w:val="65180BD7"/>
    <w:rsid w:val="680E712E"/>
    <w:rsid w:val="68D5452D"/>
    <w:rsid w:val="6BB73461"/>
    <w:rsid w:val="6BD12EFE"/>
    <w:rsid w:val="6D8641ED"/>
    <w:rsid w:val="6DBA2926"/>
    <w:rsid w:val="6E846A23"/>
    <w:rsid w:val="70043033"/>
    <w:rsid w:val="711A1A75"/>
    <w:rsid w:val="713819F8"/>
    <w:rsid w:val="75364522"/>
    <w:rsid w:val="76FF4A2D"/>
    <w:rsid w:val="77ED7DE5"/>
    <w:rsid w:val="78DD65D6"/>
    <w:rsid w:val="791F66F5"/>
    <w:rsid w:val="79365350"/>
    <w:rsid w:val="7A771297"/>
    <w:rsid w:val="7C243802"/>
    <w:rsid w:val="7C6D5C1E"/>
    <w:rsid w:val="7D4709CD"/>
    <w:rsid w:val="7D4D7EFE"/>
    <w:rsid w:val="7DD34BE3"/>
    <w:rsid w:val="7E4153DC"/>
    <w:rsid w:val="7F05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 2 Char"/>
    <w:link w:val="3"/>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35029</Words>
  <Characters>37683</Characters>
  <Lines>0</Lines>
  <Paragraphs>0</Paragraphs>
  <TotalTime>0</TotalTime>
  <ScaleCrop>false</ScaleCrop>
  <LinksUpToDate>false</LinksUpToDate>
  <CharactersWithSpaces>38295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2021-07-05T08:54:00Z</dcterms:created>
  <dc:creator>Administrator</dc:creator>
  <cp:lastModifiedBy>Administrator</cp:lastModifiedBy>
  <cp:lastPrinted>2021-07-27T00:57:00Z</cp:lastPrinted>
  <dcterms:modified xsi:type="dcterms:W3CDTF">2021-08-30T09:29:15Z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06266354901C4BDF99625AB9E7787D0E</vt:lpwstr>
  </property>
</Properties>
</file>