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1月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sz w:val="28"/>
        </w:rPr>
        <w:t>河南上市公司协会联合上海信公科技集团股份有限公司，就河南辖区上市公司202</w:t>
      </w:r>
      <w:r>
        <w:rPr>
          <w:rFonts w:hint="eastAsia" w:ascii="仿宋" w:hAnsi="仿宋" w:eastAsia="仿宋"/>
          <w:sz w:val="28"/>
          <w:lang w:val="en-US" w:eastAsia="zh-CN"/>
        </w:rPr>
        <w:t>3</w:t>
      </w:r>
      <w:r>
        <w:rPr>
          <w:rFonts w:hint="eastAsia" w:ascii="仿宋" w:hAnsi="仿宋" w:eastAsia="仿宋"/>
          <w:sz w:val="28"/>
        </w:rPr>
        <w:t>年</w:t>
      </w:r>
      <w:r>
        <w:rPr>
          <w:rFonts w:hint="eastAsia" w:ascii="仿宋" w:hAnsi="仿宋" w:eastAsia="仿宋"/>
          <w:sz w:val="28"/>
          <w:lang w:val="en-US" w:eastAsia="zh-CN"/>
        </w:rPr>
        <w:t>1</w:t>
      </w:r>
      <w:r>
        <w:rPr>
          <w:rFonts w:hint="eastAsia" w:ascii="仿宋" w:hAnsi="仿宋" w:eastAsia="仿宋"/>
          <w:sz w:val="28"/>
        </w:rPr>
        <w:t>月份市场表现及公开披露的相关信息进行归纳总结、对比分析，具体如下：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一、一</w:t>
      </w:r>
      <w:r>
        <w:rPr>
          <w:rFonts w:ascii="仿宋" w:hAnsi="仿宋" w:eastAsia="仿宋"/>
          <w:b/>
          <w:sz w:val="28"/>
        </w:rPr>
        <w:t>月</w:t>
      </w:r>
      <w:r>
        <w:rPr>
          <w:rFonts w:hint="eastAsia" w:ascii="仿宋" w:hAnsi="仿宋" w:eastAsia="仿宋"/>
          <w:b/>
          <w:sz w:val="28"/>
        </w:rPr>
        <w:t>份国内重要财经新闻浏览</w:t>
      </w:r>
    </w:p>
    <w:p>
      <w:pPr>
        <w:widowControl/>
        <w:ind w:firstLine="562" w:firstLineChars="200"/>
        <w:rPr>
          <w:rFonts w:ascii="仿宋" w:hAnsi="仿宋" w:eastAsia="仿宋"/>
          <w:sz w:val="28"/>
          <w:szCs w:val="28"/>
        </w:rPr>
      </w:pPr>
      <w:r>
        <w:rPr>
          <w:rFonts w:hint="eastAsia" w:ascii="仿宋" w:hAnsi="仿宋" w:eastAsia="仿宋"/>
          <w:b/>
          <w:sz w:val="28"/>
          <w:szCs w:val="28"/>
        </w:rPr>
        <w:t>1.国资委：央企ESG工作应处理好三个层面关系。</w:t>
      </w:r>
      <w:r>
        <w:rPr>
          <w:rFonts w:hint="eastAsia" w:ascii="仿宋" w:hAnsi="仿宋" w:eastAsia="仿宋"/>
          <w:sz w:val="28"/>
          <w:szCs w:val="28"/>
        </w:rPr>
        <w:t>国资委研究中心副主任郑东华在2022中国上市公司高质量发展论坛上表示，中央企业ESG工作取得了不小成绩，但今后面临的挑战也很大。在处理经济责任和社会责任的关系方面，郑东华认为，公益性企业的外延不宜过宽，否则就会限制企业的发展。对于企业社会责任应当有一个清晰的界定，不能把企业主动履行的社会责任和政府部门为提高运作效率而委托给企业的事项混为一谈。在处理经营发展和防范风险的关系方面，郑东华强调，无论是中央企业还是其他类型的企业，必须适应人类社会应对环境、社会和治理的问题挑战，主动调整经营发展战略，积极减排降碳、依法合规经营、回应利益相关者关切。在处理内强质地和对外宣传的关系方面，郑东华表示，ESG信息披露的质量根本上取决于企业ESG工作本身的质量，要防止“一搞ESG就灵”的思想。</w:t>
      </w:r>
    </w:p>
    <w:p>
      <w:pPr>
        <w:ind w:firstLine="562" w:firstLineChars="200"/>
        <w:textAlignment w:val="baseline"/>
        <w:rPr>
          <w:rFonts w:ascii="仿宋" w:hAnsi="仿宋" w:eastAsia="仿宋"/>
          <w:sz w:val="28"/>
          <w:szCs w:val="28"/>
        </w:rPr>
      </w:pPr>
      <w:r>
        <w:rPr>
          <w:rFonts w:hint="eastAsia" w:ascii="仿宋" w:hAnsi="仿宋" w:eastAsia="仿宋"/>
          <w:b/>
          <w:sz w:val="28"/>
          <w:szCs w:val="28"/>
        </w:rPr>
        <w:t>2.财政部：</w:t>
      </w:r>
      <w:r>
        <w:rPr>
          <w:rFonts w:ascii="仿宋" w:hAnsi="仿宋" w:eastAsia="仿宋"/>
          <w:b/>
          <w:sz w:val="28"/>
          <w:szCs w:val="28"/>
        </w:rPr>
        <w:t>2023年，我国将继续实施积极的财政政策。</w:t>
      </w:r>
      <w:r>
        <w:rPr>
          <w:rFonts w:ascii="仿宋" w:hAnsi="仿宋" w:eastAsia="仿宋"/>
          <w:sz w:val="28"/>
          <w:szCs w:val="28"/>
        </w:rPr>
        <w:t>财政部部长刘昆表示，新的一年，积极的财政政策要加力提效，重点将在五个方面发力。首先就是完善税费支持政策，根据实际情况，该延续的延续，该优化的优化，着力纾解企业困难。其次，明年将加强财政资源统筹，优化组合财政赤字、专项债、贴息等工具，适度扩大财政支出规模，为落实国家重大战略任务提供财力保障。第三，要大力优化支出结构，坚持有保有压，积极支持科技攻关、乡村振兴、区域重大战略、教育、基本民生、绿色发展等重点领域，从严控制一般性支出，不断提高支出效率。不仅如此，明年，积极财政政策还将均衡区域间财力水平，持续增加中央对地方转移支付，健全县级财力长效保障机制，促进基本公共服务均等化。此外，严肃财经纪律，严格财政收支规范管理，坚决制止违法违规举债行为，切实防范财政风险。</w:t>
      </w:r>
    </w:p>
    <w:p>
      <w:pPr>
        <w:widowControl/>
        <w:shd w:val="clear" w:color="auto" w:fill="FFFFFF"/>
        <w:ind w:firstLine="562" w:firstLineChars="200"/>
        <w:textAlignment w:val="baseline"/>
        <w:rPr>
          <w:rFonts w:ascii="仿宋" w:hAnsi="仿宋" w:eastAsia="仿宋" w:cs="仿宋"/>
          <w:bCs/>
          <w:sz w:val="28"/>
          <w:szCs w:val="28"/>
        </w:rPr>
      </w:pPr>
      <w:r>
        <w:rPr>
          <w:rFonts w:hint="eastAsia" w:ascii="仿宋" w:hAnsi="仿宋" w:eastAsia="仿宋"/>
          <w:b/>
          <w:sz w:val="28"/>
          <w:szCs w:val="28"/>
        </w:rPr>
        <w:t>3.商务部：</w:t>
      </w:r>
      <w:r>
        <w:rPr>
          <w:rFonts w:hint="eastAsia" w:ascii="仿宋" w:hAnsi="仿宋" w:eastAsia="仿宋" w:cs="仿宋"/>
          <w:b/>
          <w:sz w:val="28"/>
          <w:szCs w:val="28"/>
        </w:rPr>
        <w:t>岁末年初是传统消费旺季。</w:t>
      </w:r>
      <w:r>
        <w:rPr>
          <w:rFonts w:ascii="仿宋" w:hAnsi="仿宋" w:eastAsia="仿宋" w:cs="仿宋"/>
          <w:bCs/>
          <w:sz w:val="28"/>
          <w:szCs w:val="28"/>
        </w:rPr>
        <w:t>商务部</w:t>
      </w:r>
      <w:r>
        <w:rPr>
          <w:rFonts w:hint="eastAsia" w:ascii="仿宋" w:hAnsi="仿宋" w:eastAsia="仿宋" w:cs="仿宋"/>
          <w:bCs/>
          <w:sz w:val="28"/>
          <w:szCs w:val="28"/>
        </w:rPr>
        <w:t>新闻发言人束珏婷 昨天在例行新闻发布会上透露，</w:t>
      </w:r>
      <w:r>
        <w:rPr>
          <w:rFonts w:ascii="仿宋" w:hAnsi="仿宋" w:eastAsia="仿宋" w:cs="仿宋"/>
          <w:bCs/>
          <w:sz w:val="28"/>
          <w:szCs w:val="28"/>
        </w:rPr>
        <w:t>商务部</w:t>
      </w:r>
      <w:r>
        <w:rPr>
          <w:rFonts w:hint="eastAsia" w:ascii="仿宋" w:hAnsi="仿宋" w:eastAsia="仿宋" w:cs="仿宋"/>
          <w:bCs/>
          <w:sz w:val="28"/>
          <w:szCs w:val="28"/>
        </w:rPr>
        <w:t>将推出多方面促消费举措，包括针对元旦、春节的促消费活动，以及提升汽车、家电、家居等传统消费的系列措施。汽车、家电、家居、</w:t>
      </w:r>
      <w:r>
        <w:rPr>
          <w:rFonts w:ascii="仿宋" w:hAnsi="仿宋" w:eastAsia="仿宋" w:cs="仿宋"/>
          <w:bCs/>
          <w:sz w:val="28"/>
          <w:szCs w:val="28"/>
        </w:rPr>
        <w:t>餐饮</w:t>
      </w:r>
      <w:r>
        <w:rPr>
          <w:rFonts w:hint="eastAsia" w:ascii="仿宋" w:hAnsi="仿宋" w:eastAsia="仿宋" w:cs="仿宋"/>
          <w:bCs/>
          <w:sz w:val="28"/>
          <w:szCs w:val="28"/>
        </w:rPr>
        <w:t>占社会消费品零售总额的四分之一左右，为了促进这些传统大宗消费，</w:t>
      </w:r>
      <w:r>
        <w:rPr>
          <w:rFonts w:ascii="仿宋" w:hAnsi="仿宋" w:eastAsia="仿宋" w:cs="仿宋"/>
          <w:bCs/>
          <w:sz w:val="28"/>
          <w:szCs w:val="28"/>
        </w:rPr>
        <w:t>商务部</w:t>
      </w:r>
      <w:r>
        <w:rPr>
          <w:rFonts w:hint="eastAsia" w:ascii="仿宋" w:hAnsi="仿宋" w:eastAsia="仿宋" w:cs="仿宋"/>
          <w:bCs/>
          <w:sz w:val="28"/>
          <w:szCs w:val="28"/>
        </w:rPr>
        <w:t>表示，将着力稳定汽车消费，支持</w:t>
      </w:r>
      <w:r>
        <w:rPr>
          <w:rFonts w:ascii="仿宋" w:hAnsi="仿宋" w:eastAsia="仿宋" w:cs="仿宋"/>
          <w:bCs/>
          <w:sz w:val="28"/>
          <w:szCs w:val="28"/>
        </w:rPr>
        <w:t>新能源汽车</w:t>
      </w:r>
      <w:r>
        <w:rPr>
          <w:rFonts w:hint="eastAsia" w:ascii="仿宋" w:hAnsi="仿宋" w:eastAsia="仿宋" w:cs="仿宋"/>
          <w:bCs/>
          <w:sz w:val="28"/>
          <w:szCs w:val="28"/>
        </w:rPr>
        <w:t>购买使用，加快活跃二手车市场；促进家电家居消费，推动绿色智能家电下乡和以旧换新；支持</w:t>
      </w:r>
      <w:r>
        <w:rPr>
          <w:rFonts w:ascii="仿宋" w:hAnsi="仿宋" w:eastAsia="仿宋" w:cs="仿宋"/>
          <w:bCs/>
          <w:sz w:val="28"/>
          <w:szCs w:val="28"/>
        </w:rPr>
        <w:t>餐饮</w:t>
      </w:r>
      <w:r>
        <w:rPr>
          <w:rFonts w:hint="eastAsia" w:ascii="仿宋" w:hAnsi="仿宋" w:eastAsia="仿宋" w:cs="仿宋"/>
          <w:bCs/>
          <w:sz w:val="28"/>
          <w:szCs w:val="28"/>
        </w:rPr>
        <w:t>等行业恢复发展等。</w:t>
      </w:r>
    </w:p>
    <w:p>
      <w:pPr>
        <w:ind w:firstLine="562" w:firstLineChars="200"/>
        <w:textAlignment w:val="baseline"/>
        <w:rPr>
          <w:rFonts w:ascii="仿宋" w:hAnsi="仿宋" w:eastAsia="仿宋" w:cs="仿宋"/>
          <w:bCs/>
          <w:sz w:val="28"/>
          <w:szCs w:val="28"/>
        </w:rPr>
      </w:pPr>
      <w:r>
        <w:rPr>
          <w:rFonts w:hint="eastAsia" w:ascii="仿宋" w:hAnsi="仿宋" w:eastAsia="仿宋" w:cs="仿宋"/>
          <w:b/>
          <w:bCs/>
          <w:sz w:val="28"/>
          <w:szCs w:val="28"/>
        </w:rPr>
        <w:t>4.央行：加大稳健货币政策实施力度，着力支持扩大内需。</w:t>
      </w:r>
      <w:r>
        <w:rPr>
          <w:rFonts w:hint="eastAsia" w:ascii="仿宋" w:hAnsi="仿宋" w:eastAsia="仿宋" w:cs="仿宋"/>
          <w:bCs/>
          <w:sz w:val="28"/>
          <w:szCs w:val="28"/>
        </w:rPr>
        <w:t>中国人民银行货币政策委员会召开2022年第四季度例会。会议指出，当前全球经济增长放缓、通胀高位运行，地缘政治冲突持续，外部环境动荡不安，国内经济恢复的基础尚不牢固，需求收缩、供给冲击、预期转弱三重压力仍然较大。要坚持稳字当头、稳中求进，强化跨周期和逆周期调节，加大稳健货币政策实施力度，要精准有力，发挥好货币政策工具的总量和结构双重功能，增强信心，攻坚克难，着力稳增长稳就业稳物价，着力支持扩大内需，着力为实体经济提供更有力支持。</w:t>
      </w:r>
    </w:p>
    <w:p>
      <w:pPr>
        <w:widowControl/>
        <w:shd w:val="clear" w:color="auto" w:fill="FFFFFF"/>
        <w:ind w:firstLine="562" w:firstLineChars="200"/>
        <w:rPr>
          <w:rFonts w:ascii="仿宋" w:hAnsi="仿宋" w:eastAsia="仿宋" w:cs="仿宋"/>
          <w:sz w:val="28"/>
          <w:szCs w:val="28"/>
        </w:rPr>
      </w:pPr>
      <w:r>
        <w:rPr>
          <w:rFonts w:hint="eastAsia" w:ascii="仿宋" w:hAnsi="仿宋" w:eastAsia="仿宋" w:cs="仿宋"/>
          <w:b/>
          <w:bCs/>
          <w:sz w:val="28"/>
          <w:szCs w:val="28"/>
        </w:rPr>
        <w:t>5.证监会：“零容忍”信号持续释放，证监会全年开出40余张投行罚单。</w:t>
      </w:r>
      <w:r>
        <w:rPr>
          <w:rFonts w:hint="eastAsia" w:ascii="仿宋" w:hAnsi="仿宋" w:eastAsia="仿宋" w:cs="仿宋"/>
          <w:sz w:val="28"/>
          <w:szCs w:val="28"/>
        </w:rPr>
        <w:t>“零容忍”信号持续释放，投行业务面临强监管，2022年里，一批机构和保代被“亮黄牌”。年内，证监会官网公布了47条涉及证券类、发行类业务的行政处罚信息，超过10家券商及20余名相关责任人或保代，被采取出具警示函、监管谈话、暂停业务资格等措施，事发投行业务内控不完善或在相关保荐项目中未勤勉尽责。处罚落地，连锁反应出现——因*ST中安旧案，招商证券被立案调查，近30个IPO项目遭牵连一度中止；*ST紫晶、*ST泽达涉欺诈发行及信披违规，中信建投、东兴证券发布风险提示性公告并致歉；华金证券连收7张罚单，保荐资格遭暂停3个月。部分保代遭“禁业”处罚，安信证券保代擅自大幅删改IPO申报文件，申万宏源保荐的项目业绩“变脸”上市当年即亏损，相关保代均被认定不适当人选6个月。</w:t>
      </w:r>
    </w:p>
    <w:p>
      <w:pPr>
        <w:spacing w:line="360" w:lineRule="auto"/>
        <w:rPr>
          <w:rFonts w:ascii="仿宋" w:hAnsi="仿宋" w:eastAsia="仿宋" w:cs="仿宋"/>
          <w:b/>
          <w:sz w:val="28"/>
          <w:szCs w:val="28"/>
        </w:rPr>
      </w:pPr>
      <w:r>
        <w:rPr>
          <w:rFonts w:hint="eastAsia" w:ascii="仿宋" w:hAnsi="仿宋" w:eastAsia="仿宋" w:cs="仿宋"/>
          <w:b/>
          <w:sz w:val="28"/>
          <w:szCs w:val="28"/>
        </w:rPr>
        <w:t>二、一</w:t>
      </w:r>
      <w:r>
        <w:rPr>
          <w:rFonts w:ascii="仿宋" w:hAnsi="仿宋" w:eastAsia="仿宋" w:cs="仿宋"/>
          <w:b/>
          <w:sz w:val="28"/>
          <w:szCs w:val="28"/>
        </w:rPr>
        <w:t>月</w:t>
      </w:r>
      <w:r>
        <w:rPr>
          <w:rFonts w:hint="eastAsia" w:ascii="仿宋" w:hAnsi="仿宋" w:eastAsia="仿宋" w:cs="仿宋"/>
          <w:b/>
          <w:sz w:val="28"/>
          <w:szCs w:val="28"/>
        </w:rPr>
        <w:t>份券商的行业研究情况浏览</w:t>
      </w:r>
    </w:p>
    <w:p>
      <w:pPr>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ascii="仿宋" w:hAnsi="仿宋" w:eastAsia="仿宋" w:cs="仿宋"/>
          <w:b/>
          <w:bCs/>
          <w:color w:val="333333"/>
          <w:sz w:val="28"/>
          <w:szCs w:val="28"/>
          <w:shd w:val="clear" w:color="auto" w:fill="FFFFFF"/>
        </w:rPr>
        <w:t>大飞机产业链景气度高涨 C919 开启民航新时代——国防军工</w:t>
      </w:r>
    </w:p>
    <w:p>
      <w:pPr>
        <w:pStyle w:val="23"/>
        <w:shd w:val="clear" w:color="auto" w:fill="FFFFFF"/>
        <w:spacing w:before="0" w:beforeAutospacing="0" w:after="0" w:afterAutospacing="0"/>
        <w:ind w:firstLine="560" w:firstLineChars="200"/>
        <w:jc w:val="both"/>
        <w:rPr>
          <w:rFonts w:ascii="Cambria" w:hAnsi="Cambria" w:eastAsia="仿宋" w:cs="Cambria"/>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航</w:t>
      </w:r>
      <w:r>
        <w:rPr>
          <w:rFonts w:ascii="仿宋" w:hAnsi="仿宋" w:eastAsia="仿宋" w:cs="仿宋"/>
          <w:color w:val="333333"/>
          <w:kern w:val="2"/>
          <w:sz w:val="28"/>
          <w:szCs w:val="28"/>
          <w:shd w:val="clear" w:color="auto" w:fill="FFFFFF"/>
        </w:rPr>
        <w:t xml:space="preserve">空装备板块经营状况趋于稳定，抵抗宏观经济压的力能力较强：航空装备是国防军工行业的细分板块之一，也是近年支撑军工行业发展的“主线”之一，与其他板块相比增速较快。2021年末由于市场风格再平衡，行业内部分上市公司业绩增速放缓，以及部分军工产品降价等多方面因素导致军工行业经历近四个月的下跌。虽行业短期受制于市场风格再平衡，但基本面逻辑并未发生太大变化。相比一般工业领域，行业最大的特性在于规划属性较强，在“十四五”期间产业链相关企业未来五年需求基本明确，外部干扰因素极少。航空装备板块在2020年三季度至2022年三季度期间仅出现一次归母净利润增速为负数的情况，在盈利稳定性方面仅次于白酒板块。从ROE方面来看，航空装备板块20Q3-22Q3净资产收益率始终为正。2020年受疫情影响，全年平均ROE为4.12%；2021年的ROE增加为6.62%，单季度及全年指标均呈现出增长趋势。这反映出：航空装备行业经营水平较稳定，抵抗宏观不利因素的能力较强，盈利能力具备相对较高确定性。 </w:t>
      </w:r>
    </w:p>
    <w:p>
      <w:pPr>
        <w:pStyle w:val="23"/>
        <w:shd w:val="clear" w:color="auto" w:fill="FFFFFF"/>
        <w:spacing w:before="0" w:beforeAutospacing="0" w:after="0" w:afterAutospacing="0"/>
        <w:ind w:firstLine="560" w:firstLineChars="200"/>
        <w:jc w:val="both"/>
        <w:rPr>
          <w:rFonts w:ascii="Cambria" w:hAnsi="Cambria" w:eastAsia="仿宋" w:cs="Cambria"/>
          <w:color w:val="333333"/>
          <w:kern w:val="2"/>
          <w:sz w:val="28"/>
          <w:szCs w:val="28"/>
          <w:shd w:val="clear" w:color="auto" w:fill="FFFFFF"/>
        </w:rPr>
      </w:pPr>
      <w:r>
        <w:rPr>
          <w:rFonts w:ascii="仿宋" w:hAnsi="仿宋" w:eastAsia="仿宋" w:cs="仿宋"/>
          <w:color w:val="333333"/>
          <w:kern w:val="2"/>
          <w:sz w:val="28"/>
          <w:szCs w:val="28"/>
          <w:shd w:val="clear" w:color="auto" w:fill="FFFFFF"/>
        </w:rPr>
        <w:t>C919助力大飞机行业“起飞”：大飞机是国之重器，是一个国家科技能力、工业水平和综合实力的集中体现，被誉为“工业皇冠上的明珠”。大飞机项目具有产业链长、关联度高、辐射带动作用大等特点，发展和研制大飞机项目能够有效地推动我国经济快速增长，推动产业结构调整，带动产业技术升级，在提高航空工业制造能力、管理能力、创新能力的同时，推进我国民用航空产业化进程，全面带动我国航空产业化发展。日本通产省战略报告中提到：“飞机工业是高增值的工业和技术先进的部门，是知识密集工业领域的典型，能对其他工业起带动作用。”2007年，大型客机C919研制项目启动。C919大型客机是中国按照国际民航规章自行研制、具有自主知识产权的大型喷气式民用飞机，座级158-168座，航程4075-5555公里。作为《国家中长期科学与技术发展规划纲要（2006-2020）》确定的重大专项，C919 大飞机项目旨在与波音、空客并立，在民航客机市场中占据一席之地。2022年9月C919成功取得适航证，且首架机已于去年12月正式交付东航，有望于2023年一季度投入商业运营。</w:t>
      </w:r>
    </w:p>
    <w:p>
      <w:pPr>
        <w:pStyle w:val="7"/>
        <w:spacing w:before="156" w:beforeLines="50" w:beforeAutospacing="0" w:after="156" w:afterLines="50" w:afterAutospacing="0" w:line="360" w:lineRule="auto"/>
        <w:ind w:firstLine="561"/>
        <w:jc w:val="right"/>
        <w:rPr>
          <w:rFonts w:ascii="微软雅黑" w:hAnsi="微软雅黑" w:eastAsia="微软雅黑" w:cs="Calibri"/>
          <w:color w:val="A6A6A6" w:themeColor="background1" w:themeShade="A6"/>
          <w:sz w:val="21"/>
          <w:szCs w:val="21"/>
        </w:rPr>
      </w:pPr>
      <w:r>
        <w:rPr>
          <w:rFonts w:ascii="微软雅黑" w:hAnsi="微软雅黑" w:eastAsia="微软雅黑" w:cs="Calibri"/>
          <w:color w:val="A6A6A6" w:themeColor="background1" w:themeShade="A6"/>
          <w:sz w:val="21"/>
          <w:szCs w:val="21"/>
        </w:rPr>
        <w:t xml:space="preserve"> </w:t>
      </w:r>
      <w:r>
        <w:rPr>
          <w:rFonts w:hint="eastAsia" w:ascii="微软雅黑" w:hAnsi="微软雅黑" w:eastAsia="微软雅黑" w:cs="Calibri"/>
          <w:color w:val="A6A6A6" w:themeColor="background1" w:themeShade="A6"/>
          <w:sz w:val="21"/>
          <w:szCs w:val="21"/>
        </w:rPr>
        <w:t xml:space="preserve"> （内容来源：长城证券股份有限公司202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01</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19</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2.</w:t>
      </w:r>
      <w:r>
        <w:rPr>
          <w:rFonts w:ascii="仿宋" w:hAnsi="仿宋" w:eastAsia="仿宋" w:cs="仿宋"/>
          <w:b/>
          <w:bCs/>
          <w:color w:val="333333"/>
          <w:sz w:val="28"/>
          <w:szCs w:val="28"/>
          <w:shd w:val="clear" w:color="auto" w:fill="FFFFFF"/>
        </w:rPr>
        <w:t>糖尿病治疗叠加减重一箭双雕，GLP-1等靶点多管线升级迭代进行时</w:t>
      </w:r>
      <w:r>
        <w:rPr>
          <w:rFonts w:hint="eastAsia" w:ascii="仿宋" w:hAnsi="仿宋" w:eastAsia="仿宋" w:cs="仿宋"/>
          <w:b/>
          <w:bCs/>
          <w:color w:val="333333"/>
          <w:sz w:val="28"/>
          <w:szCs w:val="28"/>
          <w:shd w:val="clear" w:color="auto" w:fill="FFFFFF"/>
        </w:rPr>
        <w:t>——医药生物</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肥胖症和2型糖尿病患者基数巨大，已成为重要的公共卫生问题。据估计，到2030年，2型糖尿病患者达到6.43亿，糖尿病药物市场规模将超过1，000亿美元，而肥胖症患者人数也将超过11.2亿人。肥胖症和2型糖尿病关系密切，超重肥胖人群患糖尿病风险远高于体重正常人群。</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GLP-1RA类药物立足2型糖尿病适应症，商业化端持续高速增长。目前，已经有多款GLP-1RA药物获批上市，凭借良好的疗效及安全性，GLP-1RA类药物的渗透率及市场规模均实现持续大幅增长。2021年礼来的度拉糖肽销售额达64.72亿美元，成为全销售额最高的治疗糖尿病药物，而诺和诺德的司美格鲁肽则在2022年实现对度拉糖肽的反超，前三季度销售额超70亿美元，有望成为首个年销售额破百亿的GLP-1RA类药物。</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GLP-1RA类药物带动全球肥胖症药物市场增长，未来空间值得期待。传统减重药物最高仅能实现10%水平的减重效果，而GLP-1RA类药物Tirzepatide在临床试验中针对严重肥胖症患者最高达到了22.5%的减重效果，且不良反应相对更小。GLP-1RA类减重药物在上市后有力带动了全球减重药物市场的增长，截至2022年8月，全球减重药物市场规模已超过30亿美元，同比增长超过100%，其中GLP-1RA药物占据约86%市场份额。目前肥胖症药物治疗渗透率极低，随着更多GLP-1RA类药物的获批上市以及患者教育的普及，未来肥胖症药物市场空间值得期待。</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提高疗效及患者依从性是当前GLP-1RA研发方向。GLP-1RA类药物当前研发的主要趋势包括通过长效制剂与口服剂型以进一步提升患者依从性、双靶点/三靶点药物进一步增强控制血糖及减重效果等。目前礼来、诺和诺德、赛诺菲、阿斯利康等MNC均有相应布局，国内公司也纷纷布局。</w:t>
      </w:r>
    </w:p>
    <w:p>
      <w:pPr>
        <w:pStyle w:val="7"/>
        <w:spacing w:before="156" w:beforeLines="50" w:beforeAutospacing="0" w:after="156" w:afterLines="50" w:afterAutospacing="0" w:line="360" w:lineRule="auto"/>
        <w:ind w:firstLine="561"/>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 xml:space="preserve"> </w:t>
      </w:r>
      <w:r>
        <w:rPr>
          <w:rFonts w:ascii="微软雅黑" w:hAnsi="微软雅黑" w:eastAsia="微软雅黑" w:cs="Calibri"/>
          <w:color w:val="A6A6A6" w:themeColor="background1" w:themeShade="A6"/>
          <w:sz w:val="21"/>
          <w:szCs w:val="21"/>
        </w:rPr>
        <w:t xml:space="preserve"> </w:t>
      </w:r>
      <w:r>
        <w:rPr>
          <w:rFonts w:hint="eastAsia" w:ascii="微软雅黑" w:hAnsi="微软雅黑" w:eastAsia="微软雅黑" w:cs="Calibri"/>
          <w:color w:val="A6A6A6" w:themeColor="background1" w:themeShade="A6"/>
          <w:sz w:val="21"/>
          <w:szCs w:val="21"/>
        </w:rPr>
        <w:t>（内容来源：兴业证券股份有限公司202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01</w:t>
      </w:r>
      <w:r>
        <w:rPr>
          <w:rFonts w:hint="eastAsia" w:ascii="微软雅黑" w:hAnsi="微软雅黑" w:eastAsia="微软雅黑" w:cs="Calibri"/>
          <w:color w:val="A6A6A6" w:themeColor="background1" w:themeShade="A6"/>
          <w:sz w:val="21"/>
          <w:szCs w:val="21"/>
        </w:rPr>
        <w:t>-13）</w:t>
      </w:r>
    </w:p>
    <w:p>
      <w:pPr>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3.智能化趋势下高增长赛道，国产替代可期——汽车</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汽车电动智能化背景下，线控制动市场有望迎来高增长:电动化背景下，行车线控制动以电子助力器解决了新能源汽车缺少真空动力源的问题，并通过电机对车轮实现制动能量回收，提升续航里程。智能化背景下，线控制动系统作为</w:t>
      </w:r>
      <w:r>
        <w:rPr>
          <w:rFonts w:ascii="仿宋" w:hAnsi="仿宋" w:eastAsia="仿宋" w:cs="仿宋"/>
          <w:color w:val="333333"/>
          <w:kern w:val="2"/>
          <w:sz w:val="28"/>
          <w:szCs w:val="28"/>
          <w:shd w:val="clear" w:color="auto" w:fill="FFFFFF"/>
        </w:rPr>
        <w:t>“</w:t>
      </w:r>
      <w:r>
        <w:rPr>
          <w:rFonts w:hint="eastAsia" w:ascii="仿宋" w:hAnsi="仿宋" w:eastAsia="仿宋" w:cs="仿宋"/>
          <w:color w:val="333333"/>
          <w:kern w:val="2"/>
          <w:sz w:val="28"/>
          <w:szCs w:val="28"/>
          <w:shd w:val="clear" w:color="auto" w:fill="FFFFFF"/>
        </w:rPr>
        <w:t>感知、决策、执行</w:t>
      </w:r>
      <w:r>
        <w:rPr>
          <w:rFonts w:ascii="仿宋" w:hAnsi="仿宋" w:eastAsia="仿宋" w:cs="仿宋"/>
          <w:color w:val="333333"/>
          <w:kern w:val="2"/>
          <w:sz w:val="28"/>
          <w:szCs w:val="28"/>
          <w:shd w:val="clear" w:color="auto" w:fill="FFFFFF"/>
        </w:rPr>
        <w:t>”</w:t>
      </w:r>
      <w:r>
        <w:rPr>
          <w:rFonts w:hint="eastAsia" w:ascii="仿宋" w:hAnsi="仿宋" w:eastAsia="仿宋" w:cs="仿宋"/>
          <w:color w:val="333333"/>
          <w:kern w:val="2"/>
          <w:sz w:val="28"/>
          <w:szCs w:val="28"/>
          <w:shd w:val="clear" w:color="auto" w:fill="FFFFFF"/>
        </w:rPr>
        <w:t>环节中执行的核心模块，是实现高阶智能驾驶的基础。综上，展望</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年我们认为在汽车电动化和智能化背景下，线控制动市场有望迎来高增长，其中</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年电子驻车制动</w:t>
      </w:r>
      <w:r>
        <w:rPr>
          <w:rFonts w:ascii="仿宋" w:hAnsi="仿宋" w:eastAsia="仿宋" w:cs="仿宋"/>
          <w:color w:val="333333"/>
          <w:kern w:val="2"/>
          <w:sz w:val="28"/>
          <w:szCs w:val="28"/>
          <w:shd w:val="clear" w:color="auto" w:fill="FFFFFF"/>
        </w:rPr>
        <w:t>EPB</w:t>
      </w:r>
      <w:r>
        <w:rPr>
          <w:rFonts w:hint="eastAsia" w:ascii="仿宋" w:hAnsi="仿宋" w:eastAsia="仿宋" w:cs="仿宋"/>
          <w:color w:val="333333"/>
          <w:kern w:val="2"/>
          <w:sz w:val="28"/>
          <w:szCs w:val="28"/>
          <w:shd w:val="clear" w:color="auto" w:fill="FFFFFF"/>
        </w:rPr>
        <w:t>市场规模有望达</w:t>
      </w:r>
      <w:r>
        <w:rPr>
          <w:rFonts w:ascii="仿宋" w:hAnsi="仿宋" w:eastAsia="仿宋" w:cs="仿宋"/>
          <w:color w:val="333333"/>
          <w:kern w:val="2"/>
          <w:sz w:val="28"/>
          <w:szCs w:val="28"/>
          <w:shd w:val="clear" w:color="auto" w:fill="FFFFFF"/>
        </w:rPr>
        <w:t>230</w:t>
      </w:r>
      <w:r>
        <w:rPr>
          <w:rFonts w:hint="eastAsia" w:ascii="仿宋" w:hAnsi="仿宋" w:eastAsia="仿宋" w:cs="仿宋"/>
          <w:color w:val="333333"/>
          <w:kern w:val="2"/>
          <w:sz w:val="28"/>
          <w:szCs w:val="28"/>
          <w:shd w:val="clear" w:color="auto" w:fill="FFFFFF"/>
        </w:rPr>
        <w:t>亿元，</w:t>
      </w:r>
      <w:r>
        <w:rPr>
          <w:rFonts w:ascii="仿宋" w:hAnsi="仿宋" w:eastAsia="仿宋" w:cs="仿宋"/>
          <w:color w:val="333333"/>
          <w:kern w:val="2"/>
          <w:sz w:val="28"/>
          <w:szCs w:val="28"/>
          <w:shd w:val="clear" w:color="auto" w:fill="FFFFFF"/>
        </w:rPr>
        <w:t>CAGR</w:t>
      </w:r>
      <w:r>
        <w:rPr>
          <w:rFonts w:hint="eastAsia" w:ascii="仿宋" w:hAnsi="仿宋" w:eastAsia="仿宋" w:cs="仿宋"/>
          <w:color w:val="333333"/>
          <w:kern w:val="2"/>
          <w:sz w:val="28"/>
          <w:szCs w:val="28"/>
          <w:shd w:val="clear" w:color="auto" w:fill="FFFFFF"/>
        </w:rPr>
        <w:t>达</w:t>
      </w:r>
      <w:r>
        <w:rPr>
          <w:rFonts w:ascii="仿宋" w:hAnsi="仿宋" w:eastAsia="仿宋" w:cs="仿宋"/>
          <w:color w:val="333333"/>
          <w:kern w:val="2"/>
          <w:sz w:val="28"/>
          <w:szCs w:val="28"/>
          <w:shd w:val="clear" w:color="auto" w:fill="FFFFFF"/>
        </w:rPr>
        <w:t>9.76%</w:t>
      </w:r>
      <w:r>
        <w:rPr>
          <w:rFonts w:hint="eastAsia" w:ascii="仿宋" w:hAnsi="仿宋" w:eastAsia="仿宋" w:cs="仿宋"/>
          <w:color w:val="333333"/>
          <w:kern w:val="2"/>
          <w:sz w:val="28"/>
          <w:szCs w:val="28"/>
          <w:shd w:val="clear" w:color="auto" w:fill="FFFFFF"/>
        </w:rPr>
        <w:t>，渗透率有望达到</w:t>
      </w:r>
      <w:r>
        <w:rPr>
          <w:rFonts w:ascii="仿宋" w:hAnsi="仿宋" w:eastAsia="仿宋" w:cs="仿宋"/>
          <w:color w:val="333333"/>
          <w:kern w:val="2"/>
          <w:sz w:val="28"/>
          <w:szCs w:val="28"/>
          <w:shd w:val="clear" w:color="auto" w:fill="FFFFFF"/>
        </w:rPr>
        <w:t>90%</w:t>
      </w:r>
      <w:r>
        <w:rPr>
          <w:rFonts w:hint="eastAsia" w:ascii="仿宋" w:hAnsi="仿宋" w:eastAsia="仿宋" w:cs="仿宋"/>
          <w:color w:val="333333"/>
          <w:kern w:val="2"/>
          <w:sz w:val="28"/>
          <w:szCs w:val="28"/>
          <w:shd w:val="clear" w:color="auto" w:fill="FFFFFF"/>
        </w:rPr>
        <w:t>;行车线控制动市场空间有望达</w:t>
      </w:r>
      <w:r>
        <w:rPr>
          <w:rFonts w:ascii="仿宋" w:hAnsi="仿宋" w:eastAsia="仿宋" w:cs="仿宋"/>
          <w:color w:val="333333"/>
          <w:kern w:val="2"/>
          <w:sz w:val="28"/>
          <w:szCs w:val="28"/>
          <w:shd w:val="clear" w:color="auto" w:fill="FFFFFF"/>
        </w:rPr>
        <w:t>168</w:t>
      </w:r>
      <w:r>
        <w:rPr>
          <w:rFonts w:hint="eastAsia" w:ascii="仿宋" w:hAnsi="仿宋" w:eastAsia="仿宋" w:cs="仿宋"/>
          <w:color w:val="333333"/>
          <w:kern w:val="2"/>
          <w:sz w:val="28"/>
          <w:szCs w:val="28"/>
          <w:shd w:val="clear" w:color="auto" w:fill="FFFFFF"/>
        </w:rPr>
        <w:t>亿元，</w:t>
      </w:r>
      <w:r>
        <w:rPr>
          <w:rFonts w:ascii="仿宋" w:hAnsi="仿宋" w:eastAsia="仿宋" w:cs="仿宋"/>
          <w:color w:val="333333"/>
          <w:kern w:val="2"/>
          <w:sz w:val="28"/>
          <w:szCs w:val="28"/>
          <w:shd w:val="clear" w:color="auto" w:fill="FFFFFF"/>
        </w:rPr>
        <w:t>CAGR</w:t>
      </w:r>
      <w:r>
        <w:rPr>
          <w:rFonts w:hint="eastAsia" w:ascii="仿宋" w:hAnsi="仿宋" w:eastAsia="仿宋" w:cs="仿宋"/>
          <w:color w:val="333333"/>
          <w:kern w:val="2"/>
          <w:sz w:val="28"/>
          <w:szCs w:val="28"/>
          <w:shd w:val="clear" w:color="auto" w:fill="FFFFFF"/>
        </w:rPr>
        <w:t>达</w:t>
      </w:r>
      <w:r>
        <w:rPr>
          <w:rFonts w:ascii="仿宋" w:hAnsi="仿宋" w:eastAsia="仿宋" w:cs="仿宋"/>
          <w:color w:val="333333"/>
          <w:kern w:val="2"/>
          <w:sz w:val="28"/>
          <w:szCs w:val="28"/>
          <w:shd w:val="clear" w:color="auto" w:fill="FFFFFF"/>
        </w:rPr>
        <w:t>49.7%</w:t>
      </w:r>
      <w:r>
        <w:rPr>
          <w:rFonts w:hint="eastAsia" w:ascii="仿宋" w:hAnsi="仿宋" w:eastAsia="仿宋" w:cs="仿宋"/>
          <w:color w:val="333333"/>
          <w:kern w:val="2"/>
          <w:sz w:val="28"/>
          <w:szCs w:val="28"/>
          <w:shd w:val="clear" w:color="auto" w:fill="FFFFFF"/>
        </w:rPr>
        <w:t>，其中</w:t>
      </w:r>
      <w:r>
        <w:rPr>
          <w:rFonts w:ascii="仿宋" w:hAnsi="仿宋" w:eastAsia="仿宋" w:cs="仿宋"/>
          <w:color w:val="333333"/>
          <w:kern w:val="2"/>
          <w:sz w:val="28"/>
          <w:szCs w:val="28"/>
          <w:shd w:val="clear" w:color="auto" w:fill="FFFFFF"/>
        </w:rPr>
        <w:t>EHB</w:t>
      </w:r>
      <w:r>
        <w:rPr>
          <w:rFonts w:hint="eastAsia" w:ascii="仿宋" w:hAnsi="仿宋" w:eastAsia="仿宋" w:cs="仿宋"/>
          <w:color w:val="333333"/>
          <w:kern w:val="2"/>
          <w:sz w:val="28"/>
          <w:szCs w:val="28"/>
          <w:shd w:val="clear" w:color="auto" w:fill="FFFFFF"/>
        </w:rPr>
        <w:t>路线的渗透率有望达到</w:t>
      </w:r>
      <w:r>
        <w:rPr>
          <w:rFonts w:ascii="仿宋" w:hAnsi="仿宋" w:eastAsia="仿宋" w:cs="仿宋"/>
          <w:color w:val="333333"/>
          <w:kern w:val="2"/>
          <w:sz w:val="28"/>
          <w:szCs w:val="28"/>
          <w:shd w:val="clear" w:color="auto" w:fill="FFFFFF"/>
        </w:rPr>
        <w:t>30.9%</w:t>
      </w:r>
      <w:r>
        <w:rPr>
          <w:rFonts w:hint="eastAsia" w:ascii="仿宋" w:hAnsi="仿宋" w:eastAsia="仿宋" w:cs="仿宋"/>
          <w:color w:val="333333"/>
          <w:kern w:val="2"/>
          <w:sz w:val="28"/>
          <w:szCs w:val="28"/>
          <w:shd w:val="clear" w:color="auto" w:fill="FFFFFF"/>
        </w:rPr>
        <w:t xml:space="preserve">。 </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电子驻车制动</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年市场规模有望达</w:t>
      </w:r>
      <w:r>
        <w:rPr>
          <w:rFonts w:ascii="仿宋" w:hAnsi="仿宋" w:eastAsia="仿宋" w:cs="仿宋"/>
          <w:color w:val="333333"/>
          <w:kern w:val="2"/>
          <w:sz w:val="28"/>
          <w:szCs w:val="28"/>
          <w:shd w:val="clear" w:color="auto" w:fill="FFFFFF"/>
        </w:rPr>
        <w:t>230</w:t>
      </w:r>
      <w:r>
        <w:rPr>
          <w:rFonts w:hint="eastAsia" w:ascii="仿宋" w:hAnsi="仿宋" w:eastAsia="仿宋" w:cs="仿宋"/>
          <w:color w:val="333333"/>
          <w:kern w:val="2"/>
          <w:sz w:val="28"/>
          <w:szCs w:val="28"/>
          <w:shd w:val="clear" w:color="auto" w:fill="FFFFFF"/>
        </w:rPr>
        <w:t>亿元，国产替代有望率先实现:我们认为国内电子驻车制动系统(</w:t>
      </w:r>
      <w:r>
        <w:rPr>
          <w:rFonts w:ascii="仿宋" w:hAnsi="仿宋" w:eastAsia="仿宋" w:cs="仿宋"/>
          <w:color w:val="333333"/>
          <w:kern w:val="2"/>
          <w:sz w:val="28"/>
          <w:szCs w:val="28"/>
          <w:shd w:val="clear" w:color="auto" w:fill="FFFFFF"/>
        </w:rPr>
        <w:t>EPB</w:t>
      </w:r>
      <w:r>
        <w:rPr>
          <w:rFonts w:hint="eastAsia" w:ascii="仿宋" w:hAnsi="仿宋" w:eastAsia="仿宋" w:cs="仿宋"/>
          <w:color w:val="333333"/>
          <w:kern w:val="2"/>
          <w:sz w:val="28"/>
          <w:szCs w:val="28"/>
          <w:shd w:val="clear" w:color="auto" w:fill="FFFFFF"/>
        </w:rPr>
        <w:t>)市场增速有望高于全球市场平均增速(约</w:t>
      </w:r>
      <w:r>
        <w:rPr>
          <w:rFonts w:ascii="仿宋" w:hAnsi="仿宋" w:eastAsia="仿宋" w:cs="仿宋"/>
          <w:color w:val="333333"/>
          <w:kern w:val="2"/>
          <w:sz w:val="28"/>
          <w:szCs w:val="28"/>
          <w:shd w:val="clear" w:color="auto" w:fill="FFFFFF"/>
        </w:rPr>
        <w:t>4.6%</w:t>
      </w:r>
      <w:r>
        <w:rPr>
          <w:rFonts w:hint="eastAsia" w:ascii="仿宋" w:hAnsi="仿宋" w:eastAsia="仿宋" w:cs="仿宋"/>
          <w:color w:val="333333"/>
          <w:kern w:val="2"/>
          <w:sz w:val="28"/>
          <w:szCs w:val="28"/>
          <w:shd w:val="clear" w:color="auto" w:fill="FFFFFF"/>
        </w:rPr>
        <w:t>)，</w:t>
      </w:r>
      <w:r>
        <w:rPr>
          <w:rFonts w:ascii="仿宋" w:hAnsi="仿宋" w:eastAsia="仿宋" w:cs="仿宋"/>
          <w:color w:val="333333"/>
          <w:kern w:val="2"/>
          <w:sz w:val="28"/>
          <w:szCs w:val="28"/>
          <w:shd w:val="clear" w:color="auto" w:fill="FFFFFF"/>
        </w:rPr>
        <w:t>2022-2025</w:t>
      </w:r>
      <w:r>
        <w:rPr>
          <w:rFonts w:hint="eastAsia" w:ascii="仿宋" w:hAnsi="仿宋" w:eastAsia="仿宋" w:cs="仿宋"/>
          <w:color w:val="333333"/>
          <w:kern w:val="2"/>
          <w:sz w:val="28"/>
          <w:szCs w:val="28"/>
          <w:shd w:val="clear" w:color="auto" w:fill="FFFFFF"/>
        </w:rPr>
        <w:t>年国内电子驻车制动</w:t>
      </w:r>
      <w:r>
        <w:rPr>
          <w:rFonts w:ascii="仿宋" w:hAnsi="仿宋" w:eastAsia="仿宋" w:cs="仿宋"/>
          <w:color w:val="333333"/>
          <w:kern w:val="2"/>
          <w:sz w:val="28"/>
          <w:szCs w:val="28"/>
          <w:shd w:val="clear" w:color="auto" w:fill="FFFFFF"/>
        </w:rPr>
        <w:t>EPB</w:t>
      </w:r>
      <w:r>
        <w:rPr>
          <w:rFonts w:hint="eastAsia" w:ascii="仿宋" w:hAnsi="仿宋" w:eastAsia="仿宋" w:cs="仿宋"/>
          <w:color w:val="333333"/>
          <w:kern w:val="2"/>
          <w:sz w:val="28"/>
          <w:szCs w:val="28"/>
          <w:shd w:val="clear" w:color="auto" w:fill="FFFFFF"/>
        </w:rPr>
        <w:t>系统市场</w:t>
      </w:r>
      <w:r>
        <w:rPr>
          <w:rFonts w:ascii="仿宋" w:hAnsi="仿宋" w:eastAsia="仿宋" w:cs="仿宋"/>
          <w:color w:val="333333"/>
          <w:kern w:val="2"/>
          <w:sz w:val="28"/>
          <w:szCs w:val="28"/>
          <w:shd w:val="clear" w:color="auto" w:fill="FFFFFF"/>
        </w:rPr>
        <w:t>CAGR</w:t>
      </w:r>
      <w:r>
        <w:rPr>
          <w:rFonts w:hint="eastAsia" w:ascii="仿宋" w:hAnsi="仿宋" w:eastAsia="仿宋" w:cs="仿宋"/>
          <w:color w:val="333333"/>
          <w:kern w:val="2"/>
          <w:sz w:val="28"/>
          <w:szCs w:val="28"/>
          <w:shd w:val="clear" w:color="auto" w:fill="FFFFFF"/>
        </w:rPr>
        <w:t>有望达到</w:t>
      </w:r>
      <w:r>
        <w:rPr>
          <w:rFonts w:ascii="仿宋" w:hAnsi="仿宋" w:eastAsia="仿宋" w:cs="仿宋"/>
          <w:color w:val="333333"/>
          <w:kern w:val="2"/>
          <w:sz w:val="28"/>
          <w:szCs w:val="28"/>
          <w:shd w:val="clear" w:color="auto" w:fill="FFFFFF"/>
        </w:rPr>
        <w:t>9.76%</w:t>
      </w:r>
      <w:r>
        <w:rPr>
          <w:rFonts w:hint="eastAsia" w:ascii="仿宋" w:hAnsi="仿宋" w:eastAsia="仿宋" w:cs="仿宋"/>
          <w:color w:val="333333"/>
          <w:kern w:val="2"/>
          <w:sz w:val="28"/>
          <w:szCs w:val="28"/>
          <w:shd w:val="clear" w:color="auto" w:fill="FFFFFF"/>
        </w:rPr>
        <w:t>，</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年市场规模有望达</w:t>
      </w:r>
      <w:r>
        <w:rPr>
          <w:rFonts w:ascii="仿宋" w:hAnsi="仿宋" w:eastAsia="仿宋" w:cs="仿宋"/>
          <w:color w:val="333333"/>
          <w:kern w:val="2"/>
          <w:sz w:val="28"/>
          <w:szCs w:val="28"/>
          <w:shd w:val="clear" w:color="auto" w:fill="FFFFFF"/>
        </w:rPr>
        <w:t>230</w:t>
      </w:r>
      <w:r>
        <w:rPr>
          <w:rFonts w:hint="eastAsia" w:ascii="仿宋" w:hAnsi="仿宋" w:eastAsia="仿宋" w:cs="仿宋"/>
          <w:color w:val="333333"/>
          <w:kern w:val="2"/>
          <w:sz w:val="28"/>
          <w:szCs w:val="28"/>
          <w:shd w:val="clear" w:color="auto" w:fill="FFFFFF"/>
        </w:rPr>
        <w:t>亿元。</w:t>
      </w:r>
      <w:r>
        <w:rPr>
          <w:rFonts w:ascii="仿宋" w:hAnsi="仿宋" w:eastAsia="仿宋" w:cs="仿宋"/>
          <w:color w:val="333333"/>
          <w:kern w:val="2"/>
          <w:sz w:val="28"/>
          <w:szCs w:val="28"/>
          <w:shd w:val="clear" w:color="auto" w:fill="FFFFFF"/>
        </w:rPr>
        <w:t>EPB</w:t>
      </w:r>
      <w:r>
        <w:rPr>
          <w:rFonts w:hint="eastAsia" w:ascii="仿宋" w:hAnsi="仿宋" w:eastAsia="仿宋" w:cs="仿宋"/>
          <w:color w:val="333333"/>
          <w:kern w:val="2"/>
          <w:sz w:val="28"/>
          <w:szCs w:val="28"/>
          <w:shd w:val="clear" w:color="auto" w:fill="FFFFFF"/>
        </w:rPr>
        <w:t>市场格局看，目前博世、大陆、采埃孚等外资占据较大份额，本土厂商凭借高性价比、快速响应等优势也占据了一定市场份额。我们认为随着国内厂商技术成熟度逐渐提高，国产</w:t>
      </w:r>
      <w:r>
        <w:rPr>
          <w:rFonts w:ascii="仿宋" w:hAnsi="仿宋" w:eastAsia="仿宋" w:cs="仿宋"/>
          <w:color w:val="333333"/>
          <w:kern w:val="2"/>
          <w:sz w:val="28"/>
          <w:szCs w:val="28"/>
          <w:shd w:val="clear" w:color="auto" w:fill="FFFFFF"/>
        </w:rPr>
        <w:t>EPB</w:t>
      </w:r>
      <w:r>
        <w:rPr>
          <w:rFonts w:hint="eastAsia" w:ascii="仿宋" w:hAnsi="仿宋" w:eastAsia="仿宋" w:cs="仿宋"/>
          <w:color w:val="333333"/>
          <w:kern w:val="2"/>
          <w:sz w:val="28"/>
          <w:szCs w:val="28"/>
          <w:shd w:val="clear" w:color="auto" w:fill="FFFFFF"/>
        </w:rPr>
        <w:t xml:space="preserve">厂商市占率有望不断提升，有望率先实现行业国产替代进程。 </w:t>
      </w:r>
    </w:p>
    <w:p>
      <w:pPr>
        <w:pStyle w:val="23"/>
        <w:shd w:val="clear" w:color="auto" w:fill="FFFFFF"/>
        <w:spacing w:before="0" w:beforeAutospacing="0" w:after="0" w:afterAutospacing="0"/>
        <w:ind w:firstLine="560" w:firstLineChars="200"/>
        <w:jc w:val="both"/>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行车线控制动</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年市场空间有望达</w:t>
      </w:r>
      <w:r>
        <w:rPr>
          <w:rFonts w:ascii="仿宋" w:hAnsi="仿宋" w:eastAsia="仿宋" w:cs="仿宋"/>
          <w:color w:val="333333"/>
          <w:kern w:val="2"/>
          <w:sz w:val="28"/>
          <w:szCs w:val="28"/>
          <w:shd w:val="clear" w:color="auto" w:fill="FFFFFF"/>
        </w:rPr>
        <w:t>168</w:t>
      </w:r>
      <w:r>
        <w:rPr>
          <w:rFonts w:hint="eastAsia" w:ascii="仿宋" w:hAnsi="仿宋" w:eastAsia="仿宋" w:cs="仿宋"/>
          <w:color w:val="333333"/>
          <w:kern w:val="2"/>
          <w:sz w:val="28"/>
          <w:szCs w:val="28"/>
          <w:shd w:val="clear" w:color="auto" w:fill="FFFFFF"/>
        </w:rPr>
        <w:t>亿元，</w:t>
      </w:r>
      <w:r>
        <w:rPr>
          <w:rFonts w:ascii="仿宋" w:hAnsi="仿宋" w:eastAsia="仿宋" w:cs="仿宋"/>
          <w:color w:val="333333"/>
          <w:kern w:val="2"/>
          <w:sz w:val="28"/>
          <w:szCs w:val="28"/>
          <w:shd w:val="clear" w:color="auto" w:fill="FFFFFF"/>
        </w:rPr>
        <w:t>CAGR</w:t>
      </w:r>
      <w:r>
        <w:rPr>
          <w:rFonts w:hint="eastAsia" w:ascii="仿宋" w:hAnsi="仿宋" w:eastAsia="仿宋" w:cs="仿宋"/>
          <w:color w:val="333333"/>
          <w:kern w:val="2"/>
          <w:sz w:val="28"/>
          <w:szCs w:val="28"/>
          <w:shd w:val="clear" w:color="auto" w:fill="FFFFFF"/>
        </w:rPr>
        <w:t>达</w:t>
      </w:r>
      <w:r>
        <w:rPr>
          <w:rFonts w:ascii="仿宋" w:hAnsi="仿宋" w:eastAsia="仿宋" w:cs="仿宋"/>
          <w:color w:val="333333"/>
          <w:kern w:val="2"/>
          <w:sz w:val="28"/>
          <w:szCs w:val="28"/>
          <w:shd w:val="clear" w:color="auto" w:fill="FFFFFF"/>
        </w:rPr>
        <w:t>49.7%</w:t>
      </w:r>
      <w:r>
        <w:rPr>
          <w:rFonts w:hint="eastAsia" w:ascii="仿宋" w:hAnsi="仿宋" w:eastAsia="仿宋" w:cs="仿宋"/>
          <w:color w:val="333333"/>
          <w:kern w:val="2"/>
          <w:sz w:val="28"/>
          <w:szCs w:val="28"/>
          <w:shd w:val="clear" w:color="auto" w:fill="FFFFFF"/>
        </w:rPr>
        <w:t xml:space="preserve">:随着电动智能化车型占比逐步提升，我们认为行车线控制动渗透率有望进一步提升， </w:t>
      </w:r>
      <w:r>
        <w:rPr>
          <w:rFonts w:ascii="仿宋" w:hAnsi="仿宋" w:eastAsia="仿宋" w:cs="仿宋"/>
          <w:color w:val="333333"/>
          <w:kern w:val="2"/>
          <w:sz w:val="28"/>
          <w:szCs w:val="28"/>
          <w:shd w:val="clear" w:color="auto" w:fill="FFFFFF"/>
        </w:rPr>
        <w:t>2025</w:t>
      </w:r>
      <w:r>
        <w:rPr>
          <w:rFonts w:hint="eastAsia" w:ascii="仿宋" w:hAnsi="仿宋" w:eastAsia="仿宋" w:cs="仿宋"/>
          <w:color w:val="333333"/>
          <w:kern w:val="2"/>
          <w:sz w:val="28"/>
          <w:szCs w:val="28"/>
          <w:shd w:val="clear" w:color="auto" w:fill="FFFFFF"/>
        </w:rPr>
        <w:t>年市场空间将达</w:t>
      </w:r>
      <w:r>
        <w:rPr>
          <w:rFonts w:ascii="仿宋" w:hAnsi="仿宋" w:eastAsia="仿宋" w:cs="仿宋"/>
          <w:color w:val="333333"/>
          <w:kern w:val="2"/>
          <w:sz w:val="28"/>
          <w:szCs w:val="28"/>
          <w:shd w:val="clear" w:color="auto" w:fill="FFFFFF"/>
        </w:rPr>
        <w:t>168.1</w:t>
      </w:r>
      <w:r>
        <w:rPr>
          <w:rFonts w:hint="eastAsia" w:ascii="仿宋" w:hAnsi="仿宋" w:eastAsia="仿宋" w:cs="仿宋"/>
          <w:color w:val="333333"/>
          <w:kern w:val="2"/>
          <w:sz w:val="28"/>
          <w:szCs w:val="28"/>
          <w:shd w:val="clear" w:color="auto" w:fill="FFFFFF"/>
        </w:rPr>
        <w:t>亿元，</w:t>
      </w:r>
      <w:r>
        <w:rPr>
          <w:rFonts w:ascii="仿宋" w:hAnsi="仿宋" w:eastAsia="仿宋" w:cs="仿宋"/>
          <w:color w:val="333333"/>
          <w:kern w:val="2"/>
          <w:sz w:val="28"/>
          <w:szCs w:val="28"/>
          <w:shd w:val="clear" w:color="auto" w:fill="FFFFFF"/>
        </w:rPr>
        <w:t>CAGR</w:t>
      </w:r>
      <w:r>
        <w:rPr>
          <w:rFonts w:hint="eastAsia" w:ascii="仿宋" w:hAnsi="仿宋" w:eastAsia="仿宋" w:cs="仿宋"/>
          <w:color w:val="333333"/>
          <w:kern w:val="2"/>
          <w:sz w:val="28"/>
          <w:szCs w:val="28"/>
          <w:shd w:val="clear" w:color="auto" w:fill="FFFFFF"/>
        </w:rPr>
        <w:t>达到</w:t>
      </w:r>
      <w:r>
        <w:rPr>
          <w:rFonts w:ascii="仿宋" w:hAnsi="仿宋" w:eastAsia="仿宋" w:cs="仿宋"/>
          <w:color w:val="333333"/>
          <w:kern w:val="2"/>
          <w:sz w:val="28"/>
          <w:szCs w:val="28"/>
          <w:shd w:val="clear" w:color="auto" w:fill="FFFFFF"/>
        </w:rPr>
        <w:t>49.7%</w:t>
      </w:r>
      <w:r>
        <w:rPr>
          <w:rFonts w:hint="eastAsia" w:ascii="仿宋" w:hAnsi="仿宋" w:eastAsia="仿宋" w:cs="仿宋"/>
          <w:color w:val="333333"/>
          <w:kern w:val="2"/>
          <w:sz w:val="28"/>
          <w:szCs w:val="28"/>
          <w:shd w:val="clear" w:color="auto" w:fill="FFFFFF"/>
        </w:rPr>
        <w:t xml:space="preserve">。目前线控制动格局层面外资领先，本土线控制动汽零厂商在技术领域亦在积极布局，我们认为自主厂商在成本和响应速度方面具备优势，目前赛道中存在如汽车制动汽零上市公司伯特利、拓普集团、亚太股份，头部强势自主整车厂子公司弗迪动力、精工菲格等优质自主厂商，以及部分未上市公司如同驭科技等。 </w:t>
      </w:r>
    </w:p>
    <w:p>
      <w:pPr>
        <w:pStyle w:val="7"/>
        <w:spacing w:before="156" w:beforeLines="50" w:beforeAutospacing="0" w:after="156" w:afterLines="50" w:afterAutospacing="0" w:line="360" w:lineRule="auto"/>
        <w:ind w:firstLine="561"/>
        <w:jc w:val="right"/>
        <w:rPr>
          <w:rFonts w:ascii="微软雅黑" w:hAnsi="微软雅黑" w:eastAsia="微软雅黑" w:cs="Calibri"/>
          <w:color w:val="A6A6A6" w:themeColor="background1" w:themeShade="A6"/>
          <w:sz w:val="21"/>
          <w:szCs w:val="21"/>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 w:val="21"/>
          <w:szCs w:val="21"/>
        </w:rPr>
        <w:t>（内容来源：财通证券股份有限公司202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01</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18</w:t>
      </w:r>
      <w:r>
        <w:rPr>
          <w:rFonts w:hint="eastAsia" w:ascii="微软雅黑" w:hAnsi="微软雅黑" w:eastAsia="微软雅黑" w:cs="Calibri"/>
          <w:color w:val="A6A6A6" w:themeColor="background1" w:themeShade="A6"/>
          <w:sz w:val="21"/>
          <w:szCs w:val="21"/>
        </w:rPr>
        <w:t>）</w:t>
      </w:r>
    </w:p>
    <w:p>
      <w:pPr>
        <w:spacing w:before="156" w:beforeLines="50" w:after="156" w:afterLines="50" w:line="360" w:lineRule="auto"/>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截至2023年1月31日,河南辖区共有</w:t>
      </w:r>
      <w:r>
        <w:rPr>
          <w:rFonts w:ascii="仿宋" w:hAnsi="仿宋" w:eastAsia="仿宋"/>
          <w:sz w:val="28"/>
        </w:rPr>
        <w:t>A股上市公司107</w:t>
      </w:r>
      <w:r>
        <w:rPr>
          <w:rFonts w:hint="eastAsia" w:ascii="仿宋" w:hAnsi="仿宋" w:eastAsia="仿宋"/>
          <w:sz w:val="28"/>
        </w:rPr>
        <w:t>家。位居全国第13位（按照协会口径统计）。其中上交所主板30家，科创板5家，深交所主板36家、创业板27家，北交所9家。</w:t>
      </w:r>
    </w:p>
    <w:p>
      <w:pPr>
        <w:spacing w:line="360" w:lineRule="auto"/>
        <w:ind w:firstLine="560" w:firstLineChars="200"/>
        <w:rPr>
          <w:rFonts w:ascii="仿宋" w:hAnsi="仿宋" w:eastAsia="仿宋"/>
          <w:sz w:val="28"/>
        </w:rPr>
      </w:pPr>
      <w:r>
        <w:rPr>
          <w:rFonts w:hint="eastAsia" w:ascii="仿宋" w:hAnsi="仿宋" w:eastAsia="仿宋"/>
          <w:sz w:val="28"/>
        </w:rPr>
        <w:t>截至2023年1月31日, 河南辖区A股上市公司的总市值为14,974.47亿元，占</w:t>
      </w:r>
      <w:r>
        <w:rPr>
          <w:rFonts w:ascii="仿宋" w:hAnsi="仿宋" w:eastAsia="仿宋"/>
          <w:sz w:val="28"/>
        </w:rPr>
        <w:t>A股上市公司总市值的1.60%</w:t>
      </w:r>
      <w:r>
        <w:rPr>
          <w:rFonts w:hint="eastAsia" w:ascii="仿宋" w:hAnsi="仿宋" w:eastAsia="仿宋"/>
          <w:sz w:val="28"/>
        </w:rPr>
        <w:t>。2023年河南辖区上市公司再融资（含增发、配股）募集资金总额为11.68亿元。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drawing>
          <wp:inline distT="0" distB="0" distL="0" distR="0">
            <wp:extent cx="4787900" cy="2774950"/>
            <wp:effectExtent l="4445" t="4445" r="82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drawing>
          <wp:inline distT="0" distB="0" distL="0" distR="0">
            <wp:extent cx="4819650" cy="2698750"/>
            <wp:effectExtent l="0" t="0" r="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38700" cy="2628900"/>
            <wp:effectExtent l="0" t="0" r="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rPr>
          <w:rFonts w:ascii="仿宋" w:hAnsi="仿宋" w:eastAsia="仿宋"/>
          <w:b/>
          <w:sz w:val="28"/>
        </w:rPr>
      </w:pPr>
      <w:r>
        <w:rPr>
          <w:rFonts w:hint="eastAsia" w:ascii="仿宋" w:hAnsi="仿宋" w:eastAsia="仿宋"/>
          <w:b/>
          <w:sz w:val="28"/>
        </w:rPr>
        <w:t>四、河南辖区上市公司</w:t>
      </w:r>
      <w:r>
        <w:rPr>
          <w:rFonts w:ascii="仿宋" w:hAnsi="仿宋" w:eastAsia="仿宋"/>
          <w:b/>
          <w:sz w:val="28"/>
        </w:rPr>
        <w:t>1</w:t>
      </w:r>
      <w:r>
        <w:rPr>
          <w:rFonts w:hint="eastAsia" w:ascii="仿宋" w:hAnsi="仿宋" w:eastAsia="仿宋"/>
          <w:b/>
          <w:sz w:val="28"/>
        </w:rPr>
        <w:t>月市场表现分析</w:t>
      </w:r>
    </w:p>
    <w:p>
      <w:pPr>
        <w:widowControl/>
        <w:shd w:val="clear" w:color="auto" w:fill="FFFFFF"/>
        <w:spacing w:line="420" w:lineRule="atLeas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年首个交易日，开门红行情如期而至，沪指大涨近30点，重返3</w:t>
      </w:r>
      <w:r>
        <w:rPr>
          <w:rFonts w:ascii="仿宋" w:hAnsi="仿宋" w:eastAsia="仿宋" w:cs="仿宋"/>
          <w:sz w:val="28"/>
          <w:szCs w:val="28"/>
        </w:rPr>
        <w:t>,</w:t>
      </w:r>
      <w:r>
        <w:rPr>
          <w:rFonts w:hint="eastAsia" w:ascii="仿宋" w:hAnsi="仿宋" w:eastAsia="仿宋" w:cs="仿宋"/>
          <w:sz w:val="28"/>
          <w:szCs w:val="28"/>
        </w:rPr>
        <w:t>100点整数关，两市超过3</w:t>
      </w:r>
      <w:r>
        <w:rPr>
          <w:rFonts w:ascii="仿宋" w:hAnsi="仿宋" w:eastAsia="仿宋" w:cs="仿宋"/>
          <w:sz w:val="28"/>
          <w:szCs w:val="28"/>
        </w:rPr>
        <w:t>,</w:t>
      </w:r>
      <w:r>
        <w:rPr>
          <w:rFonts w:hint="eastAsia" w:ascii="仿宋" w:hAnsi="仿宋" w:eastAsia="仿宋" w:cs="仿宋"/>
          <w:sz w:val="28"/>
          <w:szCs w:val="28"/>
        </w:rPr>
        <w:t>600只个股上涨，热点全面开花；深成指、创业板指亦走高，科创50指数表现强势，涨超2%。9日，A股三大指数全天高开高走，沪指收出6连阳，白酒等消费股集体走强。19日，创业板指低开高走涨超1%，北向资金连续12个交易日净买入，本月净买入金额已超千亿。春节后开市三大指数均上涨迎兔年开门红；沪深两市成交金额突破万亿。</w:t>
      </w:r>
      <w:r>
        <w:rPr>
          <w:rFonts w:ascii="仿宋" w:hAnsi="仿宋" w:eastAsia="仿宋"/>
          <w:color w:val="000000" w:themeColor="text1"/>
          <w:sz w:val="28"/>
          <w14:textFill>
            <w14:solidFill>
              <w14:schemeClr w14:val="tx1"/>
            </w14:solidFill>
          </w14:textFill>
        </w:rPr>
        <w:t>及至月末，上证综指上涨5.39%</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3,255.67</w:t>
      </w:r>
      <w:r>
        <w:rPr>
          <w:rFonts w:hint="eastAsia" w:ascii="仿宋" w:hAnsi="仿宋" w:eastAsia="仿宋"/>
          <w:color w:val="000000" w:themeColor="text1"/>
          <w:sz w:val="28"/>
          <w14:textFill>
            <w14:solidFill>
              <w14:schemeClr w14:val="tx1"/>
            </w14:solidFill>
          </w14:textFill>
        </w:rPr>
        <w:t>点</w:t>
      </w:r>
      <w:r>
        <w:rPr>
          <w:rFonts w:hint="eastAsia" w:ascii="仿宋" w:hAnsi="仿宋" w:eastAsia="仿宋" w:cs="仿宋"/>
          <w:sz w:val="28"/>
          <w:szCs w:val="28"/>
        </w:rPr>
        <w:t>，创2010年以来最强开局</w:t>
      </w:r>
      <w:r>
        <w:rPr>
          <w:rFonts w:hint="eastAsia" w:ascii="仿宋" w:hAnsi="仿宋" w:eastAsia="仿宋"/>
          <w:color w:val="000000" w:themeColor="text1"/>
          <w:sz w:val="28"/>
          <w14:textFill>
            <w14:solidFill>
              <w14:schemeClr w14:val="tx1"/>
            </w14:solidFill>
          </w14:textFill>
        </w:rPr>
        <w:t>；深证成指</w:t>
      </w:r>
      <w:r>
        <w:rPr>
          <w:rFonts w:ascii="仿宋" w:hAnsi="仿宋" w:eastAsia="仿宋"/>
          <w:color w:val="000000" w:themeColor="text1"/>
          <w:sz w:val="28"/>
          <w14:textFill>
            <w14:solidFill>
              <w14:schemeClr w14:val="tx1"/>
            </w14:solidFill>
          </w14:textFill>
        </w:rPr>
        <w:t>上涨8.94%</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12,001.26</w:t>
      </w:r>
      <w:r>
        <w:rPr>
          <w:rFonts w:hint="eastAsia" w:ascii="仿宋" w:hAnsi="仿宋" w:eastAsia="仿宋"/>
          <w:color w:val="000000" w:themeColor="text1"/>
          <w:sz w:val="28"/>
          <w14:textFill>
            <w14:solidFill>
              <w14:schemeClr w14:val="tx1"/>
            </w14:solidFill>
          </w14:textFill>
        </w:rPr>
        <w:t>点；创业板指上涨9.97%，报收</w:t>
      </w:r>
      <w:r>
        <w:rPr>
          <w:rFonts w:ascii="仿宋" w:hAnsi="仿宋" w:eastAsia="仿宋"/>
          <w:color w:val="000000" w:themeColor="text1"/>
          <w:sz w:val="28"/>
          <w14:textFill>
            <w14:solidFill>
              <w14:schemeClr w14:val="tx1"/>
            </w14:solidFill>
          </w14:textFill>
        </w:rPr>
        <w:t>2,580.84</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2023年1月，河南</w:t>
      </w:r>
      <w:r>
        <w:rPr>
          <w:rFonts w:ascii="仿宋" w:hAnsi="仿宋" w:eastAsia="仿宋"/>
          <w:sz w:val="28"/>
        </w:rPr>
        <w:t>辖区</w:t>
      </w:r>
      <w:r>
        <w:rPr>
          <w:rFonts w:hint="eastAsia" w:ascii="仿宋" w:hAnsi="仿宋" w:eastAsia="仿宋"/>
          <w:sz w:val="28"/>
        </w:rPr>
        <w:t>涨幅排名前10位的股票中，材料占据5席，信息技术和工业各占据2席，可选消费占据1席，涨幅最大的是通达股份，</w:t>
      </w:r>
      <w:r>
        <w:rPr>
          <w:rFonts w:ascii="仿宋" w:hAnsi="仿宋" w:eastAsia="仿宋"/>
          <w:sz w:val="28"/>
        </w:rPr>
        <w:t>上涨</w:t>
      </w:r>
      <w:r>
        <w:rPr>
          <w:rFonts w:hint="eastAsia" w:ascii="仿宋" w:hAnsi="仿宋" w:eastAsia="仿宋"/>
          <w:sz w:val="28"/>
        </w:rPr>
        <w:t>61.44%；其次是利通科技，</w:t>
      </w:r>
      <w:r>
        <w:rPr>
          <w:rFonts w:ascii="仿宋" w:hAnsi="仿宋" w:eastAsia="仿宋"/>
          <w:sz w:val="28"/>
        </w:rPr>
        <w:t>上涨</w:t>
      </w:r>
      <w:r>
        <w:rPr>
          <w:rFonts w:hint="eastAsia" w:ascii="仿宋" w:hAnsi="仿宋" w:eastAsia="仿宋"/>
          <w:sz w:val="28"/>
        </w:rPr>
        <w:t>37.35%。</w:t>
      </w:r>
    </w:p>
    <w:p>
      <w:pPr>
        <w:spacing w:after="156" w:afterLines="50"/>
        <w:jc w:val="center"/>
        <w:rPr>
          <w:rFonts w:ascii="仿宋" w:hAnsi="仿宋" w:eastAsia="仿宋"/>
          <w:b/>
          <w:sz w:val="24"/>
        </w:rPr>
      </w:pP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8396" w:type="dxa"/>
        <w:jc w:val="center"/>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（2023-01-31）</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002560.SZ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通达股份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61.44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11.01</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61.44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832225.BJ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利通科技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37.35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8.09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37.35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300080.SZ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易成新能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28.54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5.99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28.54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838402.BJ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硅烷科技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26.98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17.32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26.98</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835207.BJ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众诚科技</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26.35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7.48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26.35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603993.SH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洛阳钼业</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24.62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5.67</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24.62</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600172.SH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黄河旋风</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23.14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5.96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23.14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飞龙股份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22.30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9.16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22.30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300481.SZ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濮阳惠成</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21.21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32.40</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21.21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839725.BJ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惠丰钻石</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19.61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20.86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19.61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日常消费占据5席，医疗保健占据2席，材料、工业和公用事业各占据1席，跌幅最大的为好想你，下跌19.56</w:t>
      </w:r>
      <w:r>
        <w:rPr>
          <w:rFonts w:ascii="仿宋" w:hAnsi="仿宋" w:eastAsia="仿宋"/>
          <w:sz w:val="28"/>
        </w:rPr>
        <w:t>%</w:t>
      </w:r>
      <w:r>
        <w:rPr>
          <w:rFonts w:hint="eastAsia" w:ascii="仿宋" w:hAnsi="仿宋" w:eastAsia="仿宋"/>
          <w:sz w:val="28"/>
        </w:rPr>
        <w:t>;其次为*ST辅仁，下跌10.50</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8396" w:type="dxa"/>
        <w:jc w:val="center"/>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（2023-01-31）</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002582.SZ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好想你</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-19.56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7.65</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-19.56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600781.SH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*ST辅仁</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-10.50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-10.50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002216.SZ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三全食品</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-6.97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17.22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-6.97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300908.SZ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仲景食品</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-6.47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35.87</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-6.47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300013.SZ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新宁物流</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-4.67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4.69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-4.67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-4.41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106.01</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001896.SZ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豫能控股</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-2.66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5.12</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公用事业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600222.SH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太龙药业</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6.24</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2.66</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000895.SZ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双汇发展</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-1.66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25.50</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bl>
    <w:p>
      <w:pPr>
        <w:spacing w:before="156" w:beforeLines="50" w:after="156" w:afterLines="50"/>
        <w:rPr>
          <w:rFonts w:ascii="仿宋" w:hAnsi="仿宋" w:eastAsia="仿宋"/>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1</w:t>
      </w:r>
      <w:r>
        <w:rPr>
          <w:rFonts w:hint="eastAsia" w:ascii="仿宋" w:hAnsi="仿宋" w:eastAsia="仿宋"/>
          <w:b/>
          <w:sz w:val="28"/>
        </w:rPr>
        <w:t>2</w:t>
      </w:r>
      <w:r>
        <w:rPr>
          <w:rFonts w:ascii="仿宋" w:hAnsi="仿宋" w:eastAsia="仿宋"/>
          <w:b/>
          <w:sz w:val="28"/>
        </w:rPr>
        <w:t>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50"/>
        <w:gridCol w:w="1376"/>
        <w:gridCol w:w="1100"/>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2023-01-18</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现金管理基本情况受托方：上海浦东发展银行股份有限公司产品名称：利多多公司稳利23JG3017期（1个月网点专属B款）人民币对公结构性存款产品代码：1201233017金额：4,000万元起始日：2023年1月18日到期日：2023年2月17日产品类型：保本浮动收益型预期年化收益率：1.30%或2.75%或2.95%资金来源：全资子公司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2023-01-18</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近日，公司使用部分暂时闲置自有资金进行了现金管理。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2023-01-18</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新乡拓新药业股份有限公司近期购买了理财产品。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2023-01-18</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郑州众智科技股份有限公司近期购买了理财产品。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2023-01-16</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近期，公司使用部分闲置自有资金购买了理财产品。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2023-01-13</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公司本次继续使用暂时闲置募集资金购买结构性存款。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2023-01-13</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近日，公司及全资子公司仲景食品（南阳）有限公司（以下简称“仲景食品南阳公司”）使用部分闲置募集资金和自有资金进行现金管理。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2023-01-11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2023-01-07</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向中国民生银行股份有限公司洛阳分行申购1笔“开放式本、外币现金管理产品”业务，金额49,500万元，子公司中航光电（广东）有限公司向中国建设银行股份有限公司洛阳分行申购1笔结构性存款，金额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2023-01-06</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2023-01-06</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300259.SZ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新天科技</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近期公司购买了一批理财产品。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2023-01-05</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公司使用暂时闲置募集资金进行现金管理。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2023-01-03</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22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bl>
    <w:p>
      <w:pPr>
        <w:spacing w:before="156" w:beforeLines="50" w:after="156" w:afterLines="50"/>
        <w:jc w:val="center"/>
        <w:rPr>
          <w:rFonts w:ascii="仿宋" w:hAnsi="仿宋" w:eastAsia="仿宋"/>
          <w:b/>
          <w:sz w:val="24"/>
        </w:rPr>
      </w:pPr>
      <w:r>
        <w:rPr>
          <w:rFonts w:hint="eastAsia" w:ascii="仿宋" w:hAnsi="仿宋" w:eastAsia="仿宋"/>
          <w:b/>
          <w:sz w:val="24"/>
        </w:rPr>
        <w:t>表4　再融资实施完成事项</w:t>
      </w:r>
    </w:p>
    <w:tbl>
      <w:tblPr>
        <w:tblStyle w:val="9"/>
        <w:tblW w:w="8359" w:type="dxa"/>
        <w:jc w:val="center"/>
        <w:tblLayout w:type="autofit"/>
        <w:tblCellMar>
          <w:top w:w="0" w:type="dxa"/>
          <w:left w:w="108" w:type="dxa"/>
          <w:bottom w:w="0" w:type="dxa"/>
          <w:right w:w="108" w:type="dxa"/>
        </w:tblCellMar>
      </w:tblPr>
      <w:tblGrid>
        <w:gridCol w:w="638"/>
        <w:gridCol w:w="1161"/>
        <w:gridCol w:w="1240"/>
        <w:gridCol w:w="1266"/>
        <w:gridCol w:w="1266"/>
        <w:gridCol w:w="1060"/>
        <w:gridCol w:w="1728"/>
      </w:tblGrid>
      <w:tr>
        <w:tblPrEx>
          <w:tblCellMar>
            <w:top w:w="0" w:type="dxa"/>
            <w:left w:w="108" w:type="dxa"/>
            <w:bottom w:w="0" w:type="dxa"/>
            <w:right w:w="108"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证券代码</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证券名称</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发行日期</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上市日期</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事项类型</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发行规模(亿元)</w:t>
            </w:r>
          </w:p>
        </w:tc>
      </w:tr>
      <w:tr>
        <w:tblPrEx>
          <w:tblCellMar>
            <w:top w:w="0" w:type="dxa"/>
            <w:left w:w="108" w:type="dxa"/>
            <w:bottom w:w="0" w:type="dxa"/>
            <w:right w:w="108"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600207.SH</w:t>
            </w:r>
          </w:p>
        </w:tc>
        <w:tc>
          <w:tcPr>
            <w:tcW w:w="12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安彩高科</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2022-12-23</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2023-01-19</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增发</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11.68</w:t>
            </w:r>
          </w:p>
        </w:tc>
      </w:tr>
    </w:tbl>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5978" w:type="pct"/>
        <w:jc w:val="center"/>
        <w:tblLayout w:type="fixed"/>
        <w:tblCellMar>
          <w:top w:w="0" w:type="dxa"/>
          <w:left w:w="108" w:type="dxa"/>
          <w:bottom w:w="0" w:type="dxa"/>
          <w:right w:w="108" w:type="dxa"/>
        </w:tblCellMar>
      </w:tblPr>
      <w:tblGrid>
        <w:gridCol w:w="730"/>
        <w:gridCol w:w="1316"/>
        <w:gridCol w:w="1317"/>
        <w:gridCol w:w="1270"/>
        <w:gridCol w:w="1096"/>
        <w:gridCol w:w="1031"/>
        <w:gridCol w:w="1086"/>
        <w:gridCol w:w="1322"/>
        <w:gridCol w:w="1021"/>
      </w:tblGrid>
      <w:tr>
        <w:tblPrEx>
          <w:tblCellMar>
            <w:top w:w="0" w:type="dxa"/>
            <w:left w:w="108" w:type="dxa"/>
            <w:bottom w:w="0" w:type="dxa"/>
            <w:right w:w="108" w:type="dxa"/>
          </w:tblCellMar>
        </w:tblPrEx>
        <w:trPr>
          <w:trHeight w:val="270" w:hRule="atLeast"/>
          <w:jc w:val="center"/>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4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6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62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53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506" w:type="pct"/>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533" w:type="pct"/>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50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64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4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5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50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53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融资收购其他资产</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50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7.29</w:t>
            </w:r>
          </w:p>
        </w:tc>
      </w:tr>
      <w:tr>
        <w:tblPrEx>
          <w:tblCellMar>
            <w:top w:w="0" w:type="dxa"/>
            <w:left w:w="108" w:type="dxa"/>
            <w:bottom w:w="0" w:type="dxa"/>
            <w:right w:w="108" w:type="dxa"/>
          </w:tblCellMar>
        </w:tblPrEx>
        <w:trPr>
          <w:trHeight w:val="27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2</w:t>
            </w:r>
          </w:p>
        </w:tc>
        <w:tc>
          <w:tcPr>
            <w:tcW w:w="64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4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5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50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53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配套融资</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50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3.50</w:t>
            </w:r>
          </w:p>
        </w:tc>
      </w:tr>
      <w:tr>
        <w:tblPrEx>
          <w:tblCellMar>
            <w:top w:w="0" w:type="dxa"/>
            <w:left w:w="108" w:type="dxa"/>
            <w:bottom w:w="0" w:type="dxa"/>
            <w:right w:w="108" w:type="dxa"/>
          </w:tblCellMar>
        </w:tblPrEx>
        <w:trPr>
          <w:trHeight w:val="27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3</w:t>
            </w:r>
          </w:p>
        </w:tc>
        <w:tc>
          <w:tcPr>
            <w:tcW w:w="64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2022-06-08</w:t>
            </w:r>
          </w:p>
        </w:tc>
        <w:tc>
          <w:tcPr>
            <w:tcW w:w="64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601666.SH</w:t>
            </w:r>
          </w:p>
        </w:tc>
        <w:tc>
          <w:tcPr>
            <w:tcW w:w="5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平煤股份</w:t>
            </w:r>
          </w:p>
        </w:tc>
        <w:tc>
          <w:tcPr>
            <w:tcW w:w="50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53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发审委通过</w:t>
            </w:r>
          </w:p>
        </w:tc>
        <w:tc>
          <w:tcPr>
            <w:tcW w:w="50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29.00</w:t>
            </w:r>
          </w:p>
        </w:tc>
      </w:tr>
      <w:tr>
        <w:tblPrEx>
          <w:tblCellMar>
            <w:top w:w="0" w:type="dxa"/>
            <w:left w:w="108" w:type="dxa"/>
            <w:bottom w:w="0" w:type="dxa"/>
            <w:right w:w="108" w:type="dxa"/>
          </w:tblCellMar>
        </w:tblPrEx>
        <w:trPr>
          <w:trHeight w:val="27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4</w:t>
            </w:r>
          </w:p>
        </w:tc>
        <w:tc>
          <w:tcPr>
            <w:tcW w:w="64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2022-04-02</w:t>
            </w:r>
          </w:p>
        </w:tc>
        <w:tc>
          <w:tcPr>
            <w:tcW w:w="64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2023-01-17</w:t>
            </w:r>
          </w:p>
        </w:tc>
        <w:tc>
          <w:tcPr>
            <w:tcW w:w="6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600810.SH</w:t>
            </w:r>
          </w:p>
        </w:tc>
        <w:tc>
          <w:tcPr>
            <w:tcW w:w="5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神马股份</w:t>
            </w:r>
          </w:p>
        </w:tc>
        <w:tc>
          <w:tcPr>
            <w:tcW w:w="50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53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发审委通过</w:t>
            </w:r>
          </w:p>
        </w:tc>
        <w:tc>
          <w:tcPr>
            <w:tcW w:w="50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w:t>
            </w:r>
          </w:p>
        </w:tc>
      </w:tr>
      <w:tr>
        <w:tblPrEx>
          <w:tblCellMar>
            <w:top w:w="0" w:type="dxa"/>
            <w:left w:w="108" w:type="dxa"/>
            <w:bottom w:w="0" w:type="dxa"/>
            <w:right w:w="108" w:type="dxa"/>
          </w:tblCellMar>
        </w:tblPrEx>
        <w:trPr>
          <w:trHeight w:val="27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5</w:t>
            </w:r>
          </w:p>
        </w:tc>
        <w:tc>
          <w:tcPr>
            <w:tcW w:w="64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2021-12-27</w:t>
            </w:r>
          </w:p>
        </w:tc>
        <w:tc>
          <w:tcPr>
            <w:tcW w:w="64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2023-01-12</w:t>
            </w:r>
          </w:p>
        </w:tc>
        <w:tc>
          <w:tcPr>
            <w:tcW w:w="6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300480.SZ</w:t>
            </w:r>
          </w:p>
        </w:tc>
        <w:tc>
          <w:tcPr>
            <w:tcW w:w="5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光力科技</w:t>
            </w:r>
          </w:p>
        </w:tc>
        <w:tc>
          <w:tcPr>
            <w:tcW w:w="50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可转债</w:t>
            </w:r>
          </w:p>
        </w:tc>
        <w:tc>
          <w:tcPr>
            <w:tcW w:w="53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证监会核准</w:t>
            </w:r>
          </w:p>
        </w:tc>
        <w:tc>
          <w:tcPr>
            <w:tcW w:w="50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4.00</w:t>
            </w:r>
          </w:p>
        </w:tc>
      </w:tr>
    </w:tbl>
    <w:p>
      <w:pPr>
        <w:spacing w:before="156" w:beforeLines="50" w:after="156" w:afterLines="50"/>
        <w:jc w:val="center"/>
        <w:rPr>
          <w:rFonts w:ascii="仿宋" w:hAnsi="仿宋" w:eastAsia="仿宋"/>
          <w:b/>
          <w:sz w:val="24"/>
        </w:rPr>
      </w:pPr>
      <w:r>
        <w:rPr>
          <w:rFonts w:ascii="仿宋" w:hAnsi="仿宋" w:eastAsia="仿宋"/>
          <w:b/>
          <w:sz w:val="24"/>
        </w:rPr>
        <w:t>表6　上市公司重大资产重组事项</w:t>
      </w:r>
    </w:p>
    <w:tbl>
      <w:tblPr>
        <w:tblStyle w:val="9"/>
        <w:tblW w:w="5978" w:type="pct"/>
        <w:jc w:val="center"/>
        <w:tblLayout w:type="autofit"/>
        <w:tblCellMar>
          <w:top w:w="0" w:type="dxa"/>
          <w:left w:w="108" w:type="dxa"/>
          <w:bottom w:w="0" w:type="dxa"/>
          <w:right w:w="108" w:type="dxa"/>
        </w:tblCellMar>
      </w:tblPr>
      <w:tblGrid>
        <w:gridCol w:w="692"/>
        <w:gridCol w:w="1193"/>
        <w:gridCol w:w="1164"/>
        <w:gridCol w:w="1313"/>
        <w:gridCol w:w="1311"/>
        <w:gridCol w:w="1309"/>
        <w:gridCol w:w="1311"/>
        <w:gridCol w:w="1896"/>
      </w:tblGrid>
      <w:tr>
        <w:tblPrEx>
          <w:tblCellMar>
            <w:top w:w="0" w:type="dxa"/>
            <w:left w:w="108" w:type="dxa"/>
            <w:bottom w:w="0" w:type="dxa"/>
            <w:right w:w="108" w:type="dxa"/>
          </w:tblCellMar>
        </w:tblPrEx>
        <w:trPr>
          <w:trHeight w:val="27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序号</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6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6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93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834415.BJ</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恒拓开源</w:t>
            </w:r>
          </w:p>
        </w:tc>
        <w:tc>
          <w:tcPr>
            <w:tcW w:w="6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2023-01-21</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2022-07-23</w:t>
            </w:r>
          </w:p>
        </w:tc>
        <w:tc>
          <w:tcPr>
            <w:tcW w:w="6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30"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恒拓开源收购亿迅信息51%股权。</w:t>
            </w:r>
          </w:p>
        </w:tc>
      </w:tr>
      <w:tr>
        <w:tblPrEx>
          <w:tblCellMar>
            <w:top w:w="0" w:type="dxa"/>
            <w:left w:w="108" w:type="dxa"/>
            <w:bottom w:w="0" w:type="dxa"/>
            <w:right w:w="108" w:type="dxa"/>
          </w:tblCellMar>
        </w:tblPrEx>
        <w:trPr>
          <w:trHeight w:val="27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000544.SZ</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中原环保</w:t>
            </w:r>
          </w:p>
        </w:tc>
        <w:tc>
          <w:tcPr>
            <w:tcW w:w="6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2023-01-20</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2022-12-10</w:t>
            </w:r>
          </w:p>
        </w:tc>
        <w:tc>
          <w:tcPr>
            <w:tcW w:w="6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930"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中原环保收购净化公司100%股权。</w:t>
            </w:r>
          </w:p>
        </w:tc>
      </w:tr>
      <w:tr>
        <w:tblPrEx>
          <w:tblCellMar>
            <w:top w:w="0" w:type="dxa"/>
            <w:left w:w="108" w:type="dxa"/>
            <w:bottom w:w="0" w:type="dxa"/>
            <w:right w:w="108" w:type="dxa"/>
          </w:tblCellMar>
        </w:tblPrEx>
        <w:trPr>
          <w:trHeight w:val="27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6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2022-12-30</w:t>
            </w:r>
          </w:p>
        </w:tc>
        <w:tc>
          <w:tcPr>
            <w:tcW w:w="6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6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停牌筹划</w:t>
            </w:r>
          </w:p>
        </w:tc>
        <w:tc>
          <w:tcPr>
            <w:tcW w:w="930"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新强联筹划定增收购圣久锻件51.1450%股权。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w:t>
      </w:r>
      <w:r>
        <w:rPr>
          <w:rFonts w:hint="eastAsia" w:ascii="仿宋" w:hAnsi="仿宋" w:eastAsia="仿宋"/>
          <w:b/>
          <w:sz w:val="28"/>
          <w:szCs w:val="30"/>
        </w:rPr>
        <w:t>业绩与</w:t>
      </w:r>
      <w:r>
        <w:rPr>
          <w:rFonts w:ascii="仿宋" w:hAnsi="仿宋" w:eastAsia="仿宋"/>
          <w:b/>
          <w:sz w:val="28"/>
          <w:szCs w:val="30"/>
        </w:rPr>
        <w:t>分红</w:t>
      </w:r>
    </w:p>
    <w:p>
      <w:pPr>
        <w:spacing w:before="156" w:beforeLines="50" w:after="156" w:afterLines="50"/>
        <w:ind w:firstLine="560" w:firstLineChars="200"/>
        <w:rPr>
          <w:rFonts w:ascii="仿宋" w:hAnsi="仿宋" w:eastAsia="仿宋"/>
          <w:sz w:val="28"/>
        </w:rPr>
      </w:pPr>
      <w:r>
        <w:rPr>
          <w:rFonts w:ascii="仿宋" w:hAnsi="仿宋" w:eastAsia="仿宋"/>
          <w:sz w:val="28"/>
        </w:rPr>
        <w:t>本月辖区内披露业绩预告/快报</w:t>
      </w:r>
      <w:r>
        <w:rPr>
          <w:rFonts w:hint="eastAsia" w:ascii="仿宋" w:hAnsi="仿宋" w:eastAsia="仿宋"/>
          <w:sz w:val="28"/>
        </w:rPr>
        <w:t>的上市公司共51</w:t>
      </w:r>
      <w:r>
        <w:rPr>
          <w:rFonts w:ascii="仿宋" w:hAnsi="仿宋" w:eastAsia="仿宋"/>
          <w:sz w:val="28"/>
        </w:rPr>
        <w:t>家，其中，</w:t>
      </w:r>
      <w:r>
        <w:rPr>
          <w:rFonts w:hint="eastAsia" w:ascii="仿宋" w:hAnsi="仿宋" w:eastAsia="仿宋"/>
          <w:sz w:val="28"/>
        </w:rPr>
        <w:t xml:space="preserve"> 5家业绩扭亏为盈，33家业绩预盈，6家业绩续亏，7家业绩盈转亏。         考虑到1月份业绩预告/快报披露集中、数量大，具体数据详见附件。</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本月无分红派息事项。</w:t>
      </w:r>
    </w:p>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jc w:val="center"/>
        <w:rPr>
          <w:rFonts w:ascii="仿宋" w:hAnsi="仿宋" w:eastAsia="仿宋"/>
          <w:b/>
          <w:sz w:val="24"/>
          <w:szCs w:val="30"/>
        </w:rPr>
      </w:pPr>
    </w:p>
    <w:p>
      <w:pPr>
        <w:spacing w:before="156" w:beforeLines="50" w:after="156" w:afterLines="50"/>
        <w:jc w:val="center"/>
        <w:rPr>
          <w:rFonts w:ascii="仿宋" w:hAnsi="仿宋" w:eastAsia="仿宋"/>
          <w:b/>
          <w:sz w:val="24"/>
          <w:szCs w:val="30"/>
        </w:rPr>
      </w:pPr>
    </w:p>
    <w:p>
      <w:pPr>
        <w:spacing w:before="156" w:beforeLines="50" w:after="156" w:afterLines="50"/>
        <w:jc w:val="center"/>
        <w:rPr>
          <w:rFonts w:ascii="仿宋" w:hAnsi="仿宋" w:eastAsia="仿宋"/>
          <w:b/>
          <w:sz w:val="24"/>
          <w:szCs w:val="30"/>
        </w:rPr>
      </w:pPr>
      <w:r>
        <w:rPr>
          <w:rFonts w:ascii="仿宋" w:hAnsi="仿宋" w:eastAsia="仿宋"/>
          <w:b/>
          <w:sz w:val="24"/>
          <w:szCs w:val="30"/>
        </w:rPr>
        <w:t>表7　股东增/减持公司股票事项</w:t>
      </w:r>
    </w:p>
    <w:tbl>
      <w:tblPr>
        <w:tblStyle w:val="9"/>
        <w:tblW w:w="5040" w:type="pct"/>
        <w:jc w:val="center"/>
        <w:tblLayout w:type="fixed"/>
        <w:tblCellMar>
          <w:top w:w="0" w:type="dxa"/>
          <w:left w:w="108" w:type="dxa"/>
          <w:bottom w:w="0" w:type="dxa"/>
          <w:right w:w="108" w:type="dxa"/>
        </w:tblCellMar>
      </w:tblPr>
      <w:tblGrid>
        <w:gridCol w:w="728"/>
        <w:gridCol w:w="1309"/>
        <w:gridCol w:w="1282"/>
        <w:gridCol w:w="1275"/>
        <w:gridCol w:w="1172"/>
        <w:gridCol w:w="2824"/>
      </w:tblGrid>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6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2023-01-11</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2022-10-13至2023-01-11，中国平煤神马控股集团有限公司增持229.24万股公司股份。截止2023-01-11，持有股份数量为1.45亿股流通股份，占流通股份总数比例为11.84%。</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2023-01-10</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2022年9月29日至2023年1月11日，中国平煤神马已累计增持公司股份21,762,400股，增持的股份数量已达公司总股本的1%</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2023-01-20</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688357.SH</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建龙微纳</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2022-12-09至2023-01-20，安阳普闰高新技术产业投资基金(有限合伙)减持0.18万股公司股份，平均减持价格为101.58CNY。截止2023-01-30，持有股份数量为82.6万股，占流通股份总数比例为1.39%。 2022-12-09至2023-01-20，民权县创新产业投资基金(有限合伙)减持0.18万股公司股份，平均减持价格为104.9719CNY。截止2023-01-30，持有股份数量为82.6万股，占流通股份总数比例为1.39%。 2022-12-09至2023-01-20，河南中证开元创业投资基金(有限合伙)减持0.64万股公司股份，平均减持价格为103.9376CNY。截止2023-01-30，持有股份数量为290.38万股，占流通股份总数比例为4.88%。</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2023-01-18</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001215.SZ</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千味央厨</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2022-12-22至2023-01-18，深圳前海新希望创富一号投资合伙企业(有限合伙)减持122.23万股公司股份。截止2023-01-19，持有股份数量为310.97万股，占流通股份总数比例为6.88%。</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2023-01-18</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2023-01-18，刘俊忠减持255.69万股公司股份，平均减持价格为14.16CNY。</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2023-01-17</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603566.SH</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普莱柯</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2022-11-15至2023-01-17，孙进忠减持57.2万股公司股份。截止2023-01-30，持有股份数量为1707.36万股，占流通股份总数比例为5.31%。</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2023-01-16</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2023-01-16，关付安减持255.69万股公司股份，平均减持价格为14.05CNY。</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2023-01-16</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2023-01-13至2023-01-16，深圳市鼎汇通实业有限公司减持64.44万股公司股份：其中通过大宗交易系统减持60万股公司股份。截止2023-01-18，持有股份数量为680.53万股，占流通股份总数比例为8.17%。</w:t>
            </w:r>
          </w:p>
        </w:tc>
      </w:tr>
      <w:tr>
        <w:tblPrEx>
          <w:tblCellMar>
            <w:top w:w="0" w:type="dxa"/>
            <w:left w:w="108" w:type="dxa"/>
            <w:bottom w:w="0" w:type="dxa"/>
            <w:right w:w="108" w:type="dxa"/>
          </w:tblCellMar>
        </w:tblPrEx>
        <w:trPr>
          <w:trHeight w:val="27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2023-01-11</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74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68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1644"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2022-12-28至2023-01-11，深圳市鼎汇通实业有限公司减持136.11万股公司股份：其中通过大宗交易系统减持70万股公司股份。截止2023-01-13，持有股份数量为744.97万股，占流通股份总数比例为8.94%。</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表8　1月董事长、董秘变动情况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39"/>
        <w:gridCol w:w="1459"/>
        <w:gridCol w:w="1384"/>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tcPr>
          <w:p>
            <w:pPr>
              <w:jc w:val="center"/>
              <w:rPr>
                <w:rFonts w:ascii="仿宋" w:hAnsi="仿宋" w:eastAsia="仿宋"/>
                <w:b/>
                <w:szCs w:val="21"/>
              </w:rPr>
            </w:pPr>
            <w:r>
              <w:rPr>
                <w:rFonts w:hint="eastAsia" w:ascii="仿宋" w:hAnsi="仿宋" w:eastAsia="仿宋"/>
                <w:b/>
                <w:szCs w:val="21"/>
              </w:rPr>
              <w:t>序号</w:t>
            </w:r>
          </w:p>
        </w:tc>
        <w:tc>
          <w:tcPr>
            <w:tcW w:w="844" w:type="pct"/>
          </w:tcPr>
          <w:p>
            <w:pPr>
              <w:jc w:val="center"/>
              <w:rPr>
                <w:rFonts w:ascii="仿宋" w:hAnsi="仿宋" w:eastAsia="仿宋"/>
                <w:b/>
                <w:szCs w:val="21"/>
              </w:rPr>
            </w:pPr>
            <w:r>
              <w:rPr>
                <w:rFonts w:hint="eastAsia" w:ascii="仿宋" w:hAnsi="仿宋" w:eastAsia="仿宋"/>
                <w:b/>
                <w:szCs w:val="21"/>
              </w:rPr>
              <w:t>披露日期</w:t>
            </w:r>
          </w:p>
        </w:tc>
        <w:tc>
          <w:tcPr>
            <w:tcW w:w="856" w:type="pct"/>
          </w:tcPr>
          <w:p>
            <w:pPr>
              <w:jc w:val="center"/>
              <w:rPr>
                <w:rFonts w:ascii="仿宋" w:hAnsi="仿宋" w:eastAsia="仿宋"/>
                <w:b/>
                <w:szCs w:val="21"/>
              </w:rPr>
            </w:pPr>
            <w:r>
              <w:rPr>
                <w:rFonts w:hint="eastAsia" w:ascii="仿宋" w:hAnsi="仿宋" w:eastAsia="仿宋"/>
                <w:b/>
                <w:szCs w:val="21"/>
              </w:rPr>
              <w:t>证券代码</w:t>
            </w:r>
          </w:p>
        </w:tc>
        <w:tc>
          <w:tcPr>
            <w:tcW w:w="812" w:type="pct"/>
          </w:tcPr>
          <w:p>
            <w:pPr>
              <w:jc w:val="center"/>
              <w:rPr>
                <w:rFonts w:ascii="仿宋" w:hAnsi="仿宋" w:eastAsia="仿宋"/>
                <w:b/>
                <w:szCs w:val="21"/>
              </w:rPr>
            </w:pPr>
            <w:r>
              <w:rPr>
                <w:rFonts w:hint="eastAsia" w:ascii="仿宋" w:hAnsi="仿宋" w:eastAsia="仿宋"/>
                <w:b/>
                <w:szCs w:val="21"/>
              </w:rPr>
              <w:t>证券名称</w:t>
            </w:r>
          </w:p>
        </w:tc>
        <w:tc>
          <w:tcPr>
            <w:tcW w:w="2084" w:type="pct"/>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Align w:val="center"/>
          </w:tcPr>
          <w:p>
            <w:pPr>
              <w:jc w:val="center"/>
              <w:rPr>
                <w:rFonts w:ascii="仿宋" w:hAnsi="仿宋" w:eastAsia="仿宋"/>
                <w:szCs w:val="21"/>
              </w:rPr>
            </w:pPr>
            <w:r>
              <w:rPr>
                <w:rFonts w:hint="eastAsia" w:ascii="仿宋" w:hAnsi="仿宋" w:eastAsia="仿宋"/>
                <w:szCs w:val="21"/>
              </w:rPr>
              <w:t>1</w:t>
            </w:r>
          </w:p>
        </w:tc>
        <w:tc>
          <w:tcPr>
            <w:tcW w:w="844" w:type="pct"/>
            <w:vAlign w:val="center"/>
          </w:tcPr>
          <w:p>
            <w:pPr>
              <w:jc w:val="center"/>
              <w:rPr>
                <w:rFonts w:ascii="仿宋" w:hAnsi="仿宋" w:eastAsia="仿宋"/>
                <w:szCs w:val="21"/>
              </w:rPr>
            </w:pPr>
            <w:r>
              <w:rPr>
                <w:rFonts w:hint="eastAsia" w:ascii="仿宋" w:hAnsi="仿宋" w:eastAsia="仿宋"/>
                <w:szCs w:val="21"/>
              </w:rPr>
              <w:t>2023-01-30</w:t>
            </w:r>
          </w:p>
        </w:tc>
        <w:tc>
          <w:tcPr>
            <w:tcW w:w="856" w:type="pct"/>
            <w:vAlign w:val="center"/>
          </w:tcPr>
          <w:p>
            <w:pPr>
              <w:jc w:val="center"/>
              <w:rPr>
                <w:rFonts w:ascii="仿宋" w:hAnsi="仿宋" w:eastAsia="仿宋"/>
                <w:szCs w:val="21"/>
              </w:rPr>
            </w:pPr>
            <w:r>
              <w:rPr>
                <w:rFonts w:hint="eastAsia" w:ascii="仿宋" w:hAnsi="仿宋" w:eastAsia="仿宋"/>
                <w:szCs w:val="21"/>
              </w:rPr>
              <w:t>600569.SH</w:t>
            </w:r>
          </w:p>
        </w:tc>
        <w:tc>
          <w:tcPr>
            <w:tcW w:w="812" w:type="pct"/>
            <w:vAlign w:val="center"/>
          </w:tcPr>
          <w:p>
            <w:pPr>
              <w:jc w:val="center"/>
              <w:rPr>
                <w:rFonts w:ascii="仿宋" w:hAnsi="仿宋" w:eastAsia="仿宋"/>
                <w:szCs w:val="21"/>
              </w:rPr>
            </w:pPr>
            <w:r>
              <w:rPr>
                <w:rFonts w:hint="eastAsia" w:ascii="仿宋" w:hAnsi="仿宋" w:eastAsia="仿宋"/>
                <w:szCs w:val="21"/>
              </w:rPr>
              <w:t>安阳钢铁</w:t>
            </w:r>
          </w:p>
        </w:tc>
        <w:tc>
          <w:tcPr>
            <w:tcW w:w="2084" w:type="pct"/>
            <w:vAlign w:val="center"/>
          </w:tcPr>
          <w:p>
            <w:pPr>
              <w:jc w:val="center"/>
              <w:rPr>
                <w:rFonts w:ascii="仿宋" w:hAnsi="仿宋" w:eastAsia="仿宋"/>
                <w:szCs w:val="21"/>
              </w:rPr>
            </w:pPr>
            <w:r>
              <w:rPr>
                <w:rFonts w:hint="eastAsia" w:ascii="仿宋" w:hAnsi="仿宋" w:eastAsia="仿宋"/>
                <w:szCs w:val="21"/>
              </w:rPr>
              <w:t>董事长李利剑离任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Merge w:val="restart"/>
            <w:vAlign w:val="center"/>
          </w:tcPr>
          <w:p>
            <w:pPr>
              <w:jc w:val="center"/>
              <w:rPr>
                <w:rFonts w:ascii="仿宋" w:hAnsi="仿宋" w:eastAsia="仿宋"/>
                <w:szCs w:val="21"/>
              </w:rPr>
            </w:pPr>
            <w:r>
              <w:rPr>
                <w:rFonts w:hint="eastAsia" w:ascii="仿宋" w:hAnsi="仿宋" w:eastAsia="仿宋"/>
                <w:szCs w:val="21"/>
              </w:rPr>
              <w:t>2</w:t>
            </w:r>
          </w:p>
        </w:tc>
        <w:tc>
          <w:tcPr>
            <w:tcW w:w="844" w:type="pct"/>
            <w:vAlign w:val="center"/>
          </w:tcPr>
          <w:p>
            <w:pPr>
              <w:jc w:val="center"/>
              <w:rPr>
                <w:rFonts w:ascii="仿宋" w:hAnsi="仿宋" w:eastAsia="仿宋"/>
                <w:szCs w:val="21"/>
              </w:rPr>
            </w:pPr>
            <w:r>
              <w:rPr>
                <w:rFonts w:hint="eastAsia" w:ascii="仿宋" w:hAnsi="仿宋" w:eastAsia="仿宋"/>
                <w:szCs w:val="21"/>
              </w:rPr>
              <w:t>2023-01-18</w:t>
            </w:r>
          </w:p>
        </w:tc>
        <w:tc>
          <w:tcPr>
            <w:tcW w:w="856" w:type="pct"/>
            <w:vAlign w:val="center"/>
          </w:tcPr>
          <w:p>
            <w:pPr>
              <w:jc w:val="center"/>
              <w:rPr>
                <w:rFonts w:ascii="仿宋" w:hAnsi="仿宋" w:eastAsia="仿宋"/>
                <w:szCs w:val="21"/>
              </w:rPr>
            </w:pPr>
            <w:r>
              <w:rPr>
                <w:rFonts w:hint="eastAsia" w:ascii="仿宋" w:hAnsi="仿宋" w:eastAsia="仿宋"/>
                <w:szCs w:val="21"/>
              </w:rPr>
              <w:t>600469.SH</w:t>
            </w:r>
          </w:p>
        </w:tc>
        <w:tc>
          <w:tcPr>
            <w:tcW w:w="812" w:type="pct"/>
            <w:vAlign w:val="center"/>
          </w:tcPr>
          <w:p>
            <w:pPr>
              <w:jc w:val="center"/>
              <w:rPr>
                <w:rFonts w:ascii="仿宋" w:hAnsi="仿宋" w:eastAsia="仿宋"/>
                <w:szCs w:val="21"/>
              </w:rPr>
            </w:pPr>
            <w:r>
              <w:rPr>
                <w:rFonts w:hint="eastAsia" w:ascii="仿宋" w:hAnsi="仿宋" w:eastAsia="仿宋"/>
                <w:szCs w:val="21"/>
              </w:rPr>
              <w:t>风神股份</w:t>
            </w:r>
          </w:p>
        </w:tc>
        <w:tc>
          <w:tcPr>
            <w:tcW w:w="2084" w:type="pct"/>
            <w:vAlign w:val="center"/>
          </w:tcPr>
          <w:p>
            <w:pPr>
              <w:jc w:val="center"/>
              <w:rPr>
                <w:rFonts w:ascii="仿宋" w:hAnsi="仿宋" w:eastAsia="仿宋"/>
                <w:szCs w:val="21"/>
              </w:rPr>
            </w:pPr>
            <w:r>
              <w:rPr>
                <w:rFonts w:hint="eastAsia" w:ascii="仿宋" w:hAnsi="仿宋" w:eastAsia="仿宋"/>
                <w:szCs w:val="21"/>
              </w:rPr>
              <w:t>董事会秘书刘新军离任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Merge w:val="continue"/>
            <w:vAlign w:val="center"/>
          </w:tcPr>
          <w:p>
            <w:pPr>
              <w:jc w:val="center"/>
              <w:rPr>
                <w:rFonts w:ascii="仿宋" w:hAnsi="仿宋" w:eastAsia="仿宋"/>
                <w:szCs w:val="21"/>
              </w:rPr>
            </w:pPr>
          </w:p>
        </w:tc>
        <w:tc>
          <w:tcPr>
            <w:tcW w:w="844" w:type="pct"/>
            <w:vAlign w:val="center"/>
          </w:tcPr>
          <w:p>
            <w:pPr>
              <w:jc w:val="center"/>
              <w:rPr>
                <w:rFonts w:ascii="仿宋" w:hAnsi="仿宋" w:eastAsia="仿宋"/>
                <w:szCs w:val="21"/>
              </w:rPr>
            </w:pPr>
            <w:r>
              <w:rPr>
                <w:rFonts w:hint="eastAsia" w:ascii="仿宋" w:hAnsi="仿宋" w:eastAsia="仿宋"/>
                <w:szCs w:val="21"/>
              </w:rPr>
              <w:t>2023-01-18</w:t>
            </w:r>
          </w:p>
        </w:tc>
        <w:tc>
          <w:tcPr>
            <w:tcW w:w="856" w:type="pct"/>
            <w:vAlign w:val="center"/>
          </w:tcPr>
          <w:p>
            <w:pPr>
              <w:jc w:val="center"/>
              <w:rPr>
                <w:rFonts w:ascii="仿宋" w:hAnsi="仿宋" w:eastAsia="仿宋"/>
                <w:szCs w:val="21"/>
              </w:rPr>
            </w:pPr>
            <w:r>
              <w:rPr>
                <w:rFonts w:hint="eastAsia" w:ascii="仿宋" w:hAnsi="仿宋" w:eastAsia="仿宋"/>
                <w:szCs w:val="21"/>
              </w:rPr>
              <w:t>600469.SH</w:t>
            </w:r>
          </w:p>
        </w:tc>
        <w:tc>
          <w:tcPr>
            <w:tcW w:w="812" w:type="pct"/>
            <w:vAlign w:val="center"/>
          </w:tcPr>
          <w:p>
            <w:pPr>
              <w:jc w:val="center"/>
              <w:rPr>
                <w:rFonts w:ascii="仿宋" w:hAnsi="仿宋" w:eastAsia="仿宋"/>
                <w:szCs w:val="21"/>
              </w:rPr>
            </w:pPr>
            <w:r>
              <w:rPr>
                <w:rFonts w:hint="eastAsia" w:ascii="仿宋" w:hAnsi="仿宋" w:eastAsia="仿宋"/>
                <w:szCs w:val="21"/>
              </w:rPr>
              <w:t>风神股份</w:t>
            </w:r>
          </w:p>
        </w:tc>
        <w:tc>
          <w:tcPr>
            <w:tcW w:w="2084" w:type="pct"/>
            <w:vAlign w:val="center"/>
          </w:tcPr>
          <w:p>
            <w:pPr>
              <w:jc w:val="center"/>
              <w:rPr>
                <w:rFonts w:ascii="仿宋" w:hAnsi="仿宋" w:eastAsia="仿宋"/>
                <w:szCs w:val="21"/>
              </w:rPr>
            </w:pPr>
            <w:r>
              <w:rPr>
                <w:rFonts w:hint="eastAsia" w:ascii="仿宋" w:hAnsi="仿宋" w:eastAsia="仿宋"/>
                <w:szCs w:val="21"/>
              </w:rPr>
              <w:t>新聘董事会秘书张琳琳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Merge w:val="restart"/>
            <w:vAlign w:val="center"/>
          </w:tcPr>
          <w:p>
            <w:pPr>
              <w:jc w:val="center"/>
              <w:rPr>
                <w:rFonts w:ascii="仿宋" w:hAnsi="仿宋" w:eastAsia="仿宋"/>
                <w:szCs w:val="21"/>
              </w:rPr>
            </w:pPr>
            <w:r>
              <w:rPr>
                <w:rFonts w:hint="eastAsia" w:ascii="仿宋" w:hAnsi="仿宋" w:eastAsia="仿宋"/>
                <w:szCs w:val="21"/>
              </w:rPr>
              <w:t>3</w:t>
            </w:r>
          </w:p>
        </w:tc>
        <w:tc>
          <w:tcPr>
            <w:tcW w:w="844" w:type="pct"/>
            <w:vAlign w:val="center"/>
          </w:tcPr>
          <w:p>
            <w:pPr>
              <w:jc w:val="center"/>
              <w:rPr>
                <w:rFonts w:ascii="仿宋" w:hAnsi="仿宋" w:eastAsia="仿宋"/>
                <w:szCs w:val="21"/>
              </w:rPr>
            </w:pPr>
            <w:r>
              <w:rPr>
                <w:rFonts w:hint="eastAsia" w:ascii="仿宋" w:hAnsi="仿宋" w:eastAsia="仿宋"/>
                <w:szCs w:val="21"/>
              </w:rPr>
              <w:t>2023-01-13</w:t>
            </w:r>
          </w:p>
        </w:tc>
        <w:tc>
          <w:tcPr>
            <w:tcW w:w="856" w:type="pct"/>
            <w:vAlign w:val="center"/>
          </w:tcPr>
          <w:p>
            <w:pPr>
              <w:jc w:val="center"/>
              <w:rPr>
                <w:rFonts w:ascii="仿宋" w:hAnsi="仿宋" w:eastAsia="仿宋"/>
                <w:szCs w:val="21"/>
              </w:rPr>
            </w:pPr>
            <w:r>
              <w:rPr>
                <w:rFonts w:hint="eastAsia" w:ascii="仿宋" w:hAnsi="仿宋" w:eastAsia="仿宋"/>
                <w:szCs w:val="21"/>
              </w:rPr>
              <w:t>000612.SZ</w:t>
            </w:r>
          </w:p>
        </w:tc>
        <w:tc>
          <w:tcPr>
            <w:tcW w:w="812" w:type="pct"/>
            <w:vAlign w:val="center"/>
          </w:tcPr>
          <w:p>
            <w:pPr>
              <w:jc w:val="center"/>
              <w:rPr>
                <w:rFonts w:ascii="仿宋" w:hAnsi="仿宋" w:eastAsia="仿宋"/>
                <w:szCs w:val="21"/>
              </w:rPr>
            </w:pPr>
            <w:r>
              <w:rPr>
                <w:rFonts w:hint="eastAsia" w:ascii="仿宋" w:hAnsi="仿宋" w:eastAsia="仿宋"/>
                <w:szCs w:val="21"/>
              </w:rPr>
              <w:t>焦作万方</w:t>
            </w:r>
          </w:p>
        </w:tc>
        <w:tc>
          <w:tcPr>
            <w:tcW w:w="2084" w:type="pct"/>
            <w:vAlign w:val="center"/>
          </w:tcPr>
          <w:p>
            <w:pPr>
              <w:jc w:val="center"/>
              <w:rPr>
                <w:rFonts w:ascii="仿宋" w:hAnsi="仿宋" w:eastAsia="仿宋"/>
                <w:szCs w:val="21"/>
              </w:rPr>
            </w:pPr>
            <w:r>
              <w:rPr>
                <w:rFonts w:hint="eastAsia" w:ascii="仿宋" w:hAnsi="仿宋" w:eastAsia="仿宋"/>
                <w:szCs w:val="21"/>
              </w:rPr>
              <w:t>代董事会秘书霍斌离任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Merge w:val="continue"/>
            <w:vAlign w:val="center"/>
          </w:tcPr>
          <w:p>
            <w:pPr>
              <w:jc w:val="center"/>
              <w:rPr>
                <w:rFonts w:ascii="仿宋" w:hAnsi="仿宋" w:eastAsia="仿宋"/>
                <w:szCs w:val="21"/>
              </w:rPr>
            </w:pPr>
          </w:p>
        </w:tc>
        <w:tc>
          <w:tcPr>
            <w:tcW w:w="844" w:type="pct"/>
            <w:vAlign w:val="center"/>
          </w:tcPr>
          <w:p>
            <w:pPr>
              <w:jc w:val="center"/>
              <w:rPr>
                <w:rFonts w:ascii="仿宋" w:hAnsi="仿宋" w:eastAsia="仿宋"/>
                <w:szCs w:val="21"/>
              </w:rPr>
            </w:pPr>
            <w:r>
              <w:rPr>
                <w:rFonts w:hint="eastAsia" w:ascii="仿宋" w:hAnsi="仿宋" w:eastAsia="仿宋"/>
                <w:szCs w:val="21"/>
              </w:rPr>
              <w:t>2023-01-13</w:t>
            </w:r>
          </w:p>
        </w:tc>
        <w:tc>
          <w:tcPr>
            <w:tcW w:w="856" w:type="pct"/>
            <w:vAlign w:val="center"/>
          </w:tcPr>
          <w:p>
            <w:pPr>
              <w:jc w:val="center"/>
              <w:rPr>
                <w:rFonts w:ascii="仿宋" w:hAnsi="仿宋" w:eastAsia="仿宋"/>
                <w:szCs w:val="21"/>
              </w:rPr>
            </w:pPr>
            <w:r>
              <w:rPr>
                <w:rFonts w:hint="eastAsia" w:ascii="仿宋" w:hAnsi="仿宋" w:eastAsia="仿宋"/>
                <w:szCs w:val="21"/>
              </w:rPr>
              <w:t>000612.SZ</w:t>
            </w:r>
          </w:p>
        </w:tc>
        <w:tc>
          <w:tcPr>
            <w:tcW w:w="812" w:type="pct"/>
            <w:vAlign w:val="center"/>
          </w:tcPr>
          <w:p>
            <w:pPr>
              <w:jc w:val="center"/>
              <w:rPr>
                <w:rFonts w:ascii="仿宋" w:hAnsi="仿宋" w:eastAsia="仿宋"/>
                <w:szCs w:val="21"/>
              </w:rPr>
            </w:pPr>
            <w:r>
              <w:rPr>
                <w:rFonts w:hint="eastAsia" w:ascii="仿宋" w:hAnsi="仿宋" w:eastAsia="仿宋"/>
                <w:szCs w:val="21"/>
              </w:rPr>
              <w:t>焦作万方</w:t>
            </w:r>
          </w:p>
        </w:tc>
        <w:tc>
          <w:tcPr>
            <w:tcW w:w="2084" w:type="pct"/>
            <w:vAlign w:val="center"/>
          </w:tcPr>
          <w:p>
            <w:pPr>
              <w:jc w:val="center"/>
              <w:rPr>
                <w:rFonts w:ascii="仿宋" w:hAnsi="仿宋" w:eastAsia="仿宋"/>
                <w:szCs w:val="21"/>
              </w:rPr>
            </w:pPr>
            <w:r>
              <w:rPr>
                <w:rFonts w:hint="eastAsia" w:ascii="仿宋" w:hAnsi="仿宋" w:eastAsia="仿宋"/>
                <w:szCs w:val="21"/>
              </w:rPr>
              <w:t>新聘董事会秘书吴永锭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 w:type="pct"/>
            <w:vAlign w:val="center"/>
          </w:tcPr>
          <w:p>
            <w:pPr>
              <w:jc w:val="center"/>
              <w:rPr>
                <w:rFonts w:ascii="仿宋" w:hAnsi="仿宋" w:eastAsia="仿宋"/>
                <w:szCs w:val="21"/>
              </w:rPr>
            </w:pPr>
            <w:r>
              <w:rPr>
                <w:rFonts w:hint="eastAsia" w:ascii="仿宋" w:hAnsi="仿宋" w:eastAsia="仿宋"/>
                <w:szCs w:val="21"/>
              </w:rPr>
              <w:t>4</w:t>
            </w:r>
          </w:p>
        </w:tc>
        <w:tc>
          <w:tcPr>
            <w:tcW w:w="844" w:type="pct"/>
            <w:vAlign w:val="center"/>
          </w:tcPr>
          <w:p>
            <w:pPr>
              <w:jc w:val="center"/>
              <w:rPr>
                <w:rFonts w:ascii="仿宋" w:hAnsi="仿宋" w:eastAsia="仿宋"/>
                <w:szCs w:val="21"/>
              </w:rPr>
            </w:pPr>
            <w:r>
              <w:rPr>
                <w:rFonts w:hint="eastAsia" w:ascii="仿宋" w:hAnsi="仿宋" w:eastAsia="仿宋"/>
                <w:szCs w:val="21"/>
              </w:rPr>
              <w:t>2023-01-05</w:t>
            </w:r>
          </w:p>
        </w:tc>
        <w:tc>
          <w:tcPr>
            <w:tcW w:w="856" w:type="pct"/>
            <w:vAlign w:val="center"/>
          </w:tcPr>
          <w:p>
            <w:pPr>
              <w:jc w:val="center"/>
              <w:rPr>
                <w:rFonts w:ascii="仿宋" w:hAnsi="仿宋" w:eastAsia="仿宋"/>
                <w:szCs w:val="21"/>
              </w:rPr>
            </w:pPr>
            <w:r>
              <w:rPr>
                <w:rFonts w:hint="eastAsia" w:ascii="仿宋" w:hAnsi="仿宋" w:eastAsia="仿宋"/>
                <w:szCs w:val="21"/>
              </w:rPr>
              <w:t>601666.SH</w:t>
            </w:r>
          </w:p>
        </w:tc>
        <w:tc>
          <w:tcPr>
            <w:tcW w:w="812" w:type="pct"/>
            <w:vAlign w:val="center"/>
          </w:tcPr>
          <w:p>
            <w:pPr>
              <w:jc w:val="center"/>
              <w:rPr>
                <w:rFonts w:ascii="仿宋" w:hAnsi="仿宋" w:eastAsia="仿宋"/>
                <w:szCs w:val="21"/>
              </w:rPr>
            </w:pPr>
            <w:r>
              <w:rPr>
                <w:rFonts w:hint="eastAsia" w:ascii="仿宋" w:hAnsi="仿宋" w:eastAsia="仿宋"/>
                <w:szCs w:val="21"/>
              </w:rPr>
              <w:t>平煤股份</w:t>
            </w:r>
          </w:p>
        </w:tc>
        <w:tc>
          <w:tcPr>
            <w:tcW w:w="2084" w:type="pct"/>
            <w:vAlign w:val="center"/>
          </w:tcPr>
          <w:p>
            <w:pPr>
              <w:jc w:val="center"/>
              <w:rPr>
                <w:rFonts w:ascii="仿宋" w:hAnsi="仿宋" w:eastAsia="仿宋"/>
                <w:szCs w:val="21"/>
              </w:rPr>
            </w:pPr>
            <w:r>
              <w:rPr>
                <w:rFonts w:hint="eastAsia" w:ascii="仿宋" w:hAnsi="仿宋" w:eastAsia="仿宋"/>
                <w:szCs w:val="21"/>
              </w:rPr>
              <w:t>董事长潘树启离任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表9　重大项目情况表</w:t>
      </w:r>
    </w:p>
    <w:tbl>
      <w:tblPr>
        <w:tblStyle w:val="9"/>
        <w:tblW w:w="4998" w:type="pct"/>
        <w:jc w:val="center"/>
        <w:tblLayout w:type="autofit"/>
        <w:tblCellMar>
          <w:top w:w="0" w:type="dxa"/>
          <w:left w:w="108" w:type="dxa"/>
          <w:bottom w:w="0" w:type="dxa"/>
          <w:right w:w="108" w:type="dxa"/>
        </w:tblCellMar>
      </w:tblPr>
      <w:tblGrid>
        <w:gridCol w:w="694"/>
        <w:gridCol w:w="1161"/>
        <w:gridCol w:w="1114"/>
        <w:gridCol w:w="1114"/>
        <w:gridCol w:w="1394"/>
        <w:gridCol w:w="3042"/>
      </w:tblGrid>
      <w:tr>
        <w:tblPrEx>
          <w:tblCellMar>
            <w:top w:w="0" w:type="dxa"/>
            <w:left w:w="108" w:type="dxa"/>
            <w:bottom w:w="0" w:type="dxa"/>
            <w:right w:w="108" w:type="dxa"/>
          </w:tblCellMar>
        </w:tblPrEx>
        <w:trPr>
          <w:trHeight w:val="270" w:hRule="atLeast"/>
          <w:jc w:val="center"/>
        </w:trPr>
        <w:tc>
          <w:tcPr>
            <w:tcW w:w="409"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81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78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81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2023-01-12</w:t>
            </w:r>
          </w:p>
        </w:tc>
        <w:tc>
          <w:tcPr>
            <w:tcW w:w="1786"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省交通规划设计研究院股份有限公司(以下简称“公司”或“设研院”)于2023年1月12日召开第三届董事会第十次会议,审议通过了《关于关联方中标公司子公司项目暨关联交易的议案》,公司关联方河南交控建设工程有限公司(以下简称“交控建设”)近期中标了公司全资子公司河南中鼎钢结构工程有限公司(以下简称“中鼎钢构”)“沿大别山高速公路鸡公山至商城(豫皖省界)段项目浒湾枢纽互通式立交钢箱梁安装”项目,项目金额约870万元。会议同意了本次关联交易事项。</w:t>
            </w:r>
          </w:p>
        </w:tc>
      </w:tr>
      <w:tr>
        <w:tblPrEx>
          <w:tblCellMar>
            <w:top w:w="0" w:type="dxa"/>
            <w:left w:w="108" w:type="dxa"/>
            <w:bottom w:w="0" w:type="dxa"/>
            <w:right w:w="108" w:type="dxa"/>
          </w:tblCellMar>
        </w:tblPrEx>
        <w:trPr>
          <w:trHeight w:val="27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002321.SZ</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ST华英</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81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2023-01-10</w:t>
            </w:r>
          </w:p>
        </w:tc>
        <w:tc>
          <w:tcPr>
            <w:tcW w:w="1786"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根据上述合作经营事项，公司及全资子公司菏泽华英已与众客种禽完成签署《合作经营合同》，并已与众客种禽完成合资公司的工商注册登记手续，取得了由单县市场监督管理局颁发的《营业执照》。</w:t>
            </w:r>
          </w:p>
        </w:tc>
      </w:tr>
      <w:tr>
        <w:tblPrEx>
          <w:tblCellMar>
            <w:top w:w="0" w:type="dxa"/>
            <w:left w:w="108" w:type="dxa"/>
            <w:bottom w:w="0" w:type="dxa"/>
            <w:right w:w="108" w:type="dxa"/>
          </w:tblCellMar>
        </w:tblPrEx>
        <w:trPr>
          <w:trHeight w:val="27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65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81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2023-01-04</w:t>
            </w:r>
          </w:p>
        </w:tc>
        <w:tc>
          <w:tcPr>
            <w:tcW w:w="1786" w:type="pct"/>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锦冠电力工程有限公司(以下简称“锦冠电力”)、河南锦冠技术有限公司(以下简称“锦冠技术”)、金冠电气股份有限公司(以下简称“公司”)全资子公司南阳金冠智能开关有限公司(以下简称“智能开关”)组成的联合体在本项目第一标段中标。目前,锦冠电力已收到《中标通知书》。</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六、上市公司一月违规案例精选</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w:t>
      </w:r>
      <w:r>
        <w:rPr>
          <w:rFonts w:ascii="仿宋" w:hAnsi="仿宋" w:eastAsia="仿宋" w:cs="仿宋"/>
          <w:b/>
          <w:color w:val="000000"/>
          <w:sz w:val="28"/>
          <w:szCs w:val="28"/>
        </w:rPr>
        <w:t>.</w:t>
      </w:r>
      <w:r>
        <w:rPr>
          <w:rFonts w:hint="eastAsia" w:ascii="仿宋" w:hAnsi="仿宋" w:eastAsia="仿宋" w:cs="仿宋"/>
          <w:b/>
          <w:color w:val="000000"/>
          <w:sz w:val="28"/>
          <w:szCs w:val="28"/>
        </w:rPr>
        <w:t>业绩补偿情况披露不完整被通报批评</w:t>
      </w:r>
    </w:p>
    <w:p>
      <w:pPr>
        <w:ind w:firstLine="562" w:firstLineChars="200"/>
        <w:rPr>
          <w:rFonts w:ascii="仿宋" w:hAnsi="仿宋" w:eastAsia="仿宋" w:cs="仿宋"/>
          <w:b/>
          <w:color w:val="000000"/>
          <w:sz w:val="28"/>
          <w:szCs w:val="28"/>
        </w:rPr>
      </w:pPr>
      <w:r>
        <w:rPr>
          <w:rFonts w:ascii="仿宋" w:hAnsi="仿宋" w:eastAsia="仿宋" w:cs="仿宋"/>
          <w:b/>
          <w:color w:val="000000"/>
          <w:sz w:val="28"/>
          <w:szCs w:val="28"/>
        </w:rPr>
        <w:t>【案例简介】</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018</w:t>
      </w:r>
      <w:r>
        <w:rPr>
          <w:rFonts w:hint="eastAsia" w:ascii="仿宋" w:hAnsi="仿宋" w:eastAsia="仿宋" w:cs="仿宋"/>
          <w:color w:val="000000"/>
          <w:sz w:val="28"/>
          <w:szCs w:val="28"/>
        </w:rPr>
        <w:t>年1</w:t>
      </w:r>
      <w:r>
        <w:rPr>
          <w:rFonts w:ascii="仿宋" w:hAnsi="仿宋" w:eastAsia="仿宋" w:cs="仿宋"/>
          <w:color w:val="000000"/>
          <w:sz w:val="28"/>
          <w:szCs w:val="28"/>
        </w:rPr>
        <w:t>1</w:t>
      </w:r>
      <w:r>
        <w:rPr>
          <w:rFonts w:hint="eastAsia" w:ascii="仿宋" w:hAnsi="仿宋" w:eastAsia="仿宋" w:cs="仿宋"/>
          <w:color w:val="000000"/>
          <w:sz w:val="28"/>
          <w:szCs w:val="28"/>
        </w:rPr>
        <w:t>月</w:t>
      </w:r>
      <w:r>
        <w:rPr>
          <w:rFonts w:ascii="仿宋" w:hAnsi="仿宋" w:eastAsia="仿宋" w:cs="仿宋"/>
          <w:color w:val="000000"/>
          <w:sz w:val="28"/>
          <w:szCs w:val="28"/>
        </w:rPr>
        <w:t>23</w:t>
      </w:r>
      <w:r>
        <w:rPr>
          <w:rFonts w:hint="eastAsia" w:ascii="仿宋" w:hAnsi="仿宋" w:eastAsia="仿宋" w:cs="仿宋"/>
          <w:color w:val="000000"/>
          <w:sz w:val="28"/>
          <w:szCs w:val="28"/>
        </w:rPr>
        <w:t>日，上交所主板某上市公司与标的公司、标的公司股东A公司及B公司签订《债转股协议》，上市公司以对标的公司的</w:t>
      </w:r>
      <w:r>
        <w:rPr>
          <w:rFonts w:ascii="仿宋" w:hAnsi="仿宋" w:eastAsia="仿宋" w:cs="仿宋"/>
          <w:color w:val="000000"/>
          <w:sz w:val="28"/>
          <w:szCs w:val="28"/>
        </w:rPr>
        <w:t>4.7亿元</w:t>
      </w:r>
      <w:r>
        <w:rPr>
          <w:rFonts w:hint="eastAsia" w:ascii="仿宋" w:hAnsi="仿宋" w:eastAsia="仿宋" w:cs="仿宋"/>
          <w:color w:val="000000"/>
          <w:sz w:val="28"/>
          <w:szCs w:val="28"/>
        </w:rPr>
        <w:t>债权取得其1</w:t>
      </w:r>
      <w:r>
        <w:rPr>
          <w:rFonts w:ascii="仿宋" w:hAnsi="仿宋" w:eastAsia="仿宋" w:cs="仿宋"/>
          <w:color w:val="000000"/>
          <w:sz w:val="28"/>
          <w:szCs w:val="28"/>
        </w:rPr>
        <w:t>5</w:t>
      </w:r>
      <w:r>
        <w:rPr>
          <w:rFonts w:hint="eastAsia" w:ascii="仿宋" w:hAnsi="仿宋" w:eastAsia="仿宋" w:cs="仿宋"/>
          <w:color w:val="000000"/>
          <w:sz w:val="28"/>
          <w:szCs w:val="28"/>
        </w:rPr>
        <w:t>%</w:t>
      </w:r>
      <w:r>
        <w:rPr>
          <w:rFonts w:ascii="仿宋" w:hAnsi="仿宋" w:eastAsia="仿宋" w:cs="仿宋"/>
          <w:color w:val="000000"/>
          <w:sz w:val="28"/>
          <w:szCs w:val="28"/>
        </w:rPr>
        <w:t>的</w:t>
      </w:r>
      <w:r>
        <w:rPr>
          <w:rFonts w:hint="eastAsia" w:ascii="仿宋" w:hAnsi="仿宋" w:eastAsia="仿宋" w:cs="仿宋"/>
          <w:color w:val="000000"/>
          <w:sz w:val="28"/>
          <w:szCs w:val="28"/>
        </w:rPr>
        <w:t>股权。协议同时约定，若标的公司2</w:t>
      </w:r>
      <w:r>
        <w:rPr>
          <w:rFonts w:ascii="仿宋" w:hAnsi="仿宋" w:eastAsia="仿宋" w:cs="仿宋"/>
          <w:color w:val="000000"/>
          <w:sz w:val="28"/>
          <w:szCs w:val="28"/>
        </w:rPr>
        <w:t>019</w:t>
      </w:r>
      <w:r>
        <w:rPr>
          <w:rFonts w:hint="eastAsia" w:ascii="仿宋" w:hAnsi="仿宋" w:eastAsia="仿宋" w:cs="仿宋"/>
          <w:color w:val="000000"/>
          <w:sz w:val="28"/>
          <w:szCs w:val="28"/>
        </w:rPr>
        <w:t>、2</w:t>
      </w:r>
      <w:r>
        <w:rPr>
          <w:rFonts w:ascii="仿宋" w:hAnsi="仿宋" w:eastAsia="仿宋" w:cs="仿宋"/>
          <w:color w:val="000000"/>
          <w:sz w:val="28"/>
          <w:szCs w:val="28"/>
        </w:rPr>
        <w:t>020</w:t>
      </w:r>
      <w:r>
        <w:rPr>
          <w:rFonts w:hint="eastAsia" w:ascii="仿宋" w:hAnsi="仿宋" w:eastAsia="仿宋" w:cs="仿宋"/>
          <w:color w:val="000000"/>
          <w:sz w:val="28"/>
          <w:szCs w:val="28"/>
        </w:rPr>
        <w:t>年归母净利润低于承诺净利润，则A公司与B公司应对上市公司进行业绩补偿。</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021</w:t>
      </w:r>
      <w:r>
        <w:rPr>
          <w:rFonts w:hint="eastAsia" w:ascii="仿宋" w:hAnsi="仿宋" w:eastAsia="仿宋" w:cs="仿宋"/>
          <w:color w:val="000000"/>
          <w:sz w:val="28"/>
          <w:szCs w:val="28"/>
        </w:rPr>
        <w:t>年5月1</w:t>
      </w:r>
      <w:r>
        <w:rPr>
          <w:rFonts w:ascii="仿宋" w:hAnsi="仿宋" w:eastAsia="仿宋" w:cs="仿宋"/>
          <w:color w:val="000000"/>
          <w:sz w:val="28"/>
          <w:szCs w:val="28"/>
        </w:rPr>
        <w:t>2</w:t>
      </w:r>
      <w:r>
        <w:rPr>
          <w:rFonts w:hint="eastAsia" w:ascii="仿宋" w:hAnsi="仿宋" w:eastAsia="仿宋" w:cs="仿宋"/>
          <w:color w:val="000000"/>
          <w:sz w:val="28"/>
          <w:szCs w:val="28"/>
        </w:rPr>
        <w:t>日，上市公司披露业绩承诺完成情况及业绩补偿公告，</w:t>
      </w:r>
      <w:r>
        <w:rPr>
          <w:rFonts w:ascii="仿宋" w:hAnsi="仿宋" w:eastAsia="仿宋" w:cs="仿宋"/>
          <w:color w:val="000000"/>
          <w:sz w:val="28"/>
          <w:szCs w:val="28"/>
        </w:rPr>
        <w:t>标的</w:t>
      </w:r>
      <w:r>
        <w:rPr>
          <w:rFonts w:hint="eastAsia" w:ascii="仿宋" w:hAnsi="仿宋" w:eastAsia="仿宋" w:cs="仿宋"/>
          <w:color w:val="000000"/>
          <w:sz w:val="28"/>
          <w:szCs w:val="28"/>
        </w:rPr>
        <w:t>公司2</w:t>
      </w:r>
      <w:r>
        <w:rPr>
          <w:rFonts w:ascii="仿宋" w:hAnsi="仿宋" w:eastAsia="仿宋" w:cs="仿宋"/>
          <w:color w:val="000000"/>
          <w:sz w:val="28"/>
          <w:szCs w:val="28"/>
        </w:rPr>
        <w:t>019</w:t>
      </w:r>
      <w:r>
        <w:rPr>
          <w:rFonts w:hint="eastAsia" w:ascii="仿宋" w:hAnsi="仿宋" w:eastAsia="仿宋" w:cs="仿宋"/>
          <w:color w:val="000000"/>
          <w:sz w:val="28"/>
          <w:szCs w:val="28"/>
        </w:rPr>
        <w:t>、2</w:t>
      </w:r>
      <w:r>
        <w:rPr>
          <w:rFonts w:ascii="仿宋" w:hAnsi="仿宋" w:eastAsia="仿宋" w:cs="仿宋"/>
          <w:color w:val="000000"/>
          <w:sz w:val="28"/>
          <w:szCs w:val="28"/>
        </w:rPr>
        <w:t>020</w:t>
      </w:r>
      <w:r>
        <w:rPr>
          <w:rFonts w:hint="eastAsia" w:ascii="仿宋" w:hAnsi="仿宋" w:eastAsia="仿宋" w:cs="仿宋"/>
          <w:color w:val="000000"/>
          <w:sz w:val="28"/>
          <w:szCs w:val="28"/>
        </w:rPr>
        <w:t>年业绩承诺完成率分别为18.72%、22.26%。根据协议约定，A公司与B公司应向上市公司支付业绩补偿款共计2</w:t>
      </w:r>
      <w:r>
        <w:rPr>
          <w:rFonts w:ascii="仿宋" w:hAnsi="仿宋" w:eastAsia="仿宋" w:cs="仿宋"/>
          <w:color w:val="000000"/>
          <w:sz w:val="28"/>
          <w:szCs w:val="28"/>
        </w:rPr>
        <w:t>.58亿元</w:t>
      </w:r>
      <w:r>
        <w:rPr>
          <w:rFonts w:hint="eastAsia" w:ascii="仿宋" w:hAnsi="仿宋" w:eastAsia="仿宋" w:cs="仿宋"/>
          <w:color w:val="000000"/>
          <w:sz w:val="28"/>
          <w:szCs w:val="28"/>
        </w:rPr>
        <w:t>。公告显示，上市公司已向其发送了要求支付相关业绩承诺补偿款的通知。</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根据协议约定，</w:t>
      </w:r>
      <w:r>
        <w:rPr>
          <w:rFonts w:ascii="仿宋" w:hAnsi="仿宋" w:eastAsia="仿宋" w:cs="仿宋"/>
          <w:color w:val="000000"/>
          <w:sz w:val="28"/>
          <w:szCs w:val="28"/>
        </w:rPr>
        <w:t>业绩承诺方应在收到</w:t>
      </w:r>
      <w:r>
        <w:rPr>
          <w:rFonts w:hint="eastAsia" w:ascii="仿宋" w:hAnsi="仿宋" w:eastAsia="仿宋" w:cs="仿宋"/>
          <w:color w:val="000000"/>
          <w:sz w:val="28"/>
          <w:szCs w:val="28"/>
        </w:rPr>
        <w:t>上市</w:t>
      </w:r>
      <w:r>
        <w:rPr>
          <w:rFonts w:ascii="仿宋" w:hAnsi="仿宋" w:eastAsia="仿宋" w:cs="仿宋"/>
          <w:color w:val="000000"/>
          <w:sz w:val="28"/>
          <w:szCs w:val="28"/>
        </w:rPr>
        <w:t>公司书面通知之日起20个工作日内将业绩承诺补偿款全额支付至公司指定银行账户，未按期支付的还需支付逾期违约金。</w:t>
      </w:r>
      <w:r>
        <w:rPr>
          <w:rFonts w:hint="eastAsia" w:ascii="仿宋" w:hAnsi="仿宋" w:eastAsia="仿宋" w:cs="仿宋"/>
          <w:color w:val="000000"/>
          <w:sz w:val="28"/>
          <w:szCs w:val="28"/>
        </w:rPr>
        <w:t>A公司与B公司的业绩补偿承诺于2</w:t>
      </w:r>
      <w:r>
        <w:rPr>
          <w:rFonts w:ascii="仿宋" w:hAnsi="仿宋" w:eastAsia="仿宋" w:cs="仿宋"/>
          <w:color w:val="000000"/>
          <w:sz w:val="28"/>
          <w:szCs w:val="28"/>
        </w:rPr>
        <w:t>021</w:t>
      </w:r>
      <w:r>
        <w:rPr>
          <w:rFonts w:hint="eastAsia" w:ascii="仿宋" w:hAnsi="仿宋" w:eastAsia="仿宋" w:cs="仿宋"/>
          <w:color w:val="000000"/>
          <w:sz w:val="28"/>
          <w:szCs w:val="28"/>
        </w:rPr>
        <w:t xml:space="preserve">年6月发生逾期，但对于前期协议约定的补偿期限、逾期违约金及承诺方业绩补偿承诺已逾期的相关情况，上市公司均未履行信息披露义务，直至2022年8月22日才在进展公告中予以披露。 </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上交所认为，上市公司的</w:t>
      </w:r>
      <w:r>
        <w:rPr>
          <w:rFonts w:ascii="仿宋" w:hAnsi="仿宋" w:eastAsia="仿宋" w:cs="仿宋"/>
          <w:color w:val="000000"/>
          <w:sz w:val="28"/>
          <w:szCs w:val="28"/>
        </w:rPr>
        <w:t>上述行为违反了</w:t>
      </w:r>
      <w:r>
        <w:rPr>
          <w:rFonts w:hint="eastAsia" w:ascii="仿宋" w:hAnsi="仿宋" w:eastAsia="仿宋" w:cs="仿宋"/>
          <w:color w:val="000000"/>
          <w:sz w:val="28"/>
          <w:szCs w:val="28"/>
        </w:rPr>
        <w:t>《上海证券交易所股票上市规则》（2</w:t>
      </w:r>
      <w:r>
        <w:rPr>
          <w:rFonts w:ascii="仿宋" w:hAnsi="仿宋" w:eastAsia="仿宋" w:cs="仿宋"/>
          <w:color w:val="000000"/>
          <w:sz w:val="28"/>
          <w:szCs w:val="28"/>
        </w:rPr>
        <w:t>020年修订</w:t>
      </w:r>
      <w:r>
        <w:rPr>
          <w:rFonts w:hint="eastAsia" w:ascii="仿宋" w:hAnsi="仿宋" w:eastAsia="仿宋" w:cs="仿宋"/>
          <w:color w:val="000000"/>
          <w:sz w:val="28"/>
          <w:szCs w:val="28"/>
        </w:rPr>
        <w:t>）第2.1条、第2</w:t>
      </w:r>
      <w:r>
        <w:rPr>
          <w:rFonts w:ascii="仿宋" w:hAnsi="仿宋" w:eastAsia="仿宋" w:cs="仿宋"/>
          <w:color w:val="000000"/>
          <w:sz w:val="28"/>
          <w:szCs w:val="28"/>
        </w:rPr>
        <w:t>.3</w:t>
      </w:r>
      <w:r>
        <w:rPr>
          <w:rFonts w:hint="eastAsia" w:ascii="仿宋" w:hAnsi="仿宋" w:eastAsia="仿宋" w:cs="仿宋"/>
          <w:color w:val="000000"/>
          <w:sz w:val="28"/>
          <w:szCs w:val="28"/>
        </w:rPr>
        <w:t>条、第7</w:t>
      </w:r>
      <w:r>
        <w:rPr>
          <w:rFonts w:ascii="仿宋" w:hAnsi="仿宋" w:eastAsia="仿宋" w:cs="仿宋"/>
          <w:color w:val="000000"/>
          <w:sz w:val="28"/>
          <w:szCs w:val="28"/>
        </w:rPr>
        <w:t>.5</w:t>
      </w:r>
      <w:r>
        <w:rPr>
          <w:rFonts w:hint="eastAsia" w:ascii="仿宋" w:hAnsi="仿宋" w:eastAsia="仿宋" w:cs="仿宋"/>
          <w:color w:val="000000"/>
          <w:sz w:val="28"/>
          <w:szCs w:val="28"/>
        </w:rPr>
        <w:t>条的规定，</w:t>
      </w:r>
      <w:r>
        <w:rPr>
          <w:rFonts w:ascii="仿宋" w:hAnsi="仿宋" w:eastAsia="仿宋" w:cs="仿宋"/>
          <w:color w:val="000000"/>
          <w:sz w:val="28"/>
          <w:szCs w:val="28"/>
        </w:rPr>
        <w:t>对上市公司及时任</w:t>
      </w:r>
      <w:r>
        <w:rPr>
          <w:rFonts w:hint="eastAsia" w:ascii="仿宋" w:hAnsi="仿宋" w:eastAsia="仿宋" w:cs="仿宋"/>
          <w:color w:val="000000"/>
          <w:sz w:val="28"/>
          <w:szCs w:val="28"/>
        </w:rPr>
        <w:t>董事长、董事会秘书予以通报批评。</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ascii="仿宋" w:hAnsi="仿宋" w:eastAsia="仿宋" w:cs="仿宋"/>
          <w:b/>
          <w:color w:val="000000"/>
          <w:sz w:val="28"/>
          <w:szCs w:val="28"/>
          <w:u w:val="single"/>
        </w:rPr>
        <w:t>《上海证券交易所股票上市规则》</w:t>
      </w:r>
      <w:r>
        <w:rPr>
          <w:rFonts w:hint="eastAsia" w:ascii="仿宋" w:hAnsi="仿宋" w:eastAsia="仿宋" w:cs="仿宋"/>
          <w:b/>
          <w:color w:val="000000"/>
          <w:sz w:val="28"/>
          <w:szCs w:val="28"/>
          <w:u w:val="single"/>
        </w:rPr>
        <w:t>（2</w:t>
      </w:r>
      <w:r>
        <w:rPr>
          <w:rFonts w:ascii="仿宋" w:hAnsi="仿宋" w:eastAsia="仿宋" w:cs="仿宋"/>
          <w:b/>
          <w:color w:val="000000"/>
          <w:sz w:val="28"/>
          <w:szCs w:val="28"/>
          <w:u w:val="single"/>
        </w:rPr>
        <w:t>022</w:t>
      </w:r>
      <w:r>
        <w:rPr>
          <w:rFonts w:hint="eastAsia" w:ascii="仿宋" w:hAnsi="仿宋" w:eastAsia="仿宋" w:cs="仿宋"/>
          <w:b/>
          <w:color w:val="000000"/>
          <w:sz w:val="28"/>
          <w:szCs w:val="28"/>
          <w:u w:val="single"/>
        </w:rPr>
        <w:t>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2.1.6　上市公司及相关信息披露义务人披露信息，应当内容完整，充分披露对公司股票及其衍生品种交易价格有较大影响的信息，揭示可能产生的重大风险，不得有选择地披露部分信息，不得有重大遗漏。</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收购资产是市场关注的重大事项，应就资产收购过程中约定的业绩补偿相关情况，及时、完整地履行信息披露义务，保障投资者知情权。承诺方一旦触发业绩补偿义务，上市公司应及时披露补偿款支付安排及相应的逾期、进展等重要事项，并充分提示不确定性风险。</w:t>
      </w:r>
    </w:p>
    <w:p>
      <w:pPr>
        <w:spacing w:line="360" w:lineRule="auto"/>
        <w:ind w:firstLine="562" w:firstLineChars="200"/>
        <w:rPr>
          <w:rFonts w:ascii="华文楷体" w:hAnsi="华文楷体" w:eastAsia="华文楷体"/>
          <w:b/>
          <w:color w:val="000000"/>
          <w:kern w:val="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w:t>
      </w:r>
      <w:r>
        <w:rPr>
          <w:rFonts w:hint="eastAsia" w:ascii="仿宋" w:hAnsi="仿宋" w:eastAsia="仿宋" w:cs="仿宋"/>
          <w:b/>
          <w:color w:val="000000"/>
          <w:sz w:val="28"/>
          <w:szCs w:val="28"/>
        </w:rPr>
        <w:t>重大诉讼未及时披露，受到监管处罚</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2022</w:t>
      </w:r>
      <w:r>
        <w:rPr>
          <w:rFonts w:hint="eastAsia" w:ascii="仿宋" w:hAnsi="仿宋" w:eastAsia="仿宋" w:cs="仿宋"/>
          <w:color w:val="000000"/>
          <w:sz w:val="28"/>
          <w:szCs w:val="28"/>
        </w:rPr>
        <w:t>年</w:t>
      </w:r>
      <w:r>
        <w:rPr>
          <w:rFonts w:ascii="仿宋" w:hAnsi="仿宋" w:eastAsia="仿宋" w:cs="仿宋"/>
          <w:color w:val="000000"/>
          <w:sz w:val="28"/>
          <w:szCs w:val="28"/>
        </w:rPr>
        <w:t>1月4日</w:t>
      </w:r>
      <w:r>
        <w:rPr>
          <w:rFonts w:hint="eastAsia" w:ascii="仿宋" w:hAnsi="仿宋" w:eastAsia="仿宋" w:cs="仿宋"/>
          <w:color w:val="000000"/>
          <w:sz w:val="28"/>
          <w:szCs w:val="28"/>
        </w:rPr>
        <w:t>，深圳证券交易所主板某上市公司</w:t>
      </w:r>
      <w:r>
        <w:rPr>
          <w:rFonts w:ascii="仿宋" w:hAnsi="仿宋" w:eastAsia="仿宋" w:cs="仿宋"/>
          <w:color w:val="000000"/>
          <w:sz w:val="28"/>
          <w:szCs w:val="28"/>
        </w:rPr>
        <w:t>披露《关于公司及相关人员收到行政监管措施决定</w:t>
      </w:r>
      <w:r>
        <w:rPr>
          <w:rFonts w:hint="eastAsia" w:ascii="仿宋" w:hAnsi="仿宋" w:eastAsia="仿宋" w:cs="仿宋"/>
          <w:color w:val="000000"/>
          <w:sz w:val="28"/>
          <w:szCs w:val="28"/>
        </w:rPr>
        <w:t>书的公告》，公告显示，上市公司未按照规定披露</w:t>
      </w:r>
      <w:r>
        <w:rPr>
          <w:rFonts w:ascii="仿宋" w:hAnsi="仿宋" w:eastAsia="仿宋" w:cs="仿宋"/>
          <w:color w:val="000000"/>
          <w:sz w:val="28"/>
          <w:szCs w:val="28"/>
        </w:rPr>
        <w:t>2022年期间相关诉</w:t>
      </w:r>
      <w:r>
        <w:rPr>
          <w:rFonts w:hint="eastAsia" w:ascii="仿宋" w:hAnsi="仿宋" w:eastAsia="仿宋" w:cs="仿宋"/>
          <w:color w:val="000000"/>
          <w:sz w:val="28"/>
          <w:szCs w:val="28"/>
        </w:rPr>
        <w:t>讼事项，累计金额</w:t>
      </w:r>
      <w:r>
        <w:rPr>
          <w:rFonts w:ascii="仿宋" w:hAnsi="仿宋" w:eastAsia="仿宋" w:cs="仿宋"/>
          <w:color w:val="000000"/>
          <w:sz w:val="28"/>
          <w:szCs w:val="28"/>
        </w:rPr>
        <w:t>4,442.69万元；公司董事长兼代董事会秘书</w:t>
      </w:r>
      <w:r>
        <w:rPr>
          <w:rFonts w:hint="eastAsia" w:ascii="仿宋" w:hAnsi="仿宋" w:eastAsia="仿宋" w:cs="仿宋"/>
          <w:color w:val="000000"/>
          <w:sz w:val="28"/>
          <w:szCs w:val="28"/>
        </w:rPr>
        <w:t>、总经理对上述违规行为负有主要责任。</w:t>
      </w:r>
    </w:p>
    <w:p>
      <w:pPr>
        <w:spacing w:line="360" w:lineRule="auto"/>
        <w:ind w:firstLine="562" w:firstLineChars="200"/>
        <w:rPr>
          <w:rFonts w:ascii="华文楷体" w:hAnsi="华文楷体" w:eastAsia="华文楷体"/>
          <w:b/>
          <w:sz w:val="28"/>
          <w:szCs w:val="28"/>
        </w:rPr>
      </w:pPr>
      <w:r>
        <w:rPr>
          <w:rFonts w:hint="eastAsia" w:ascii="华文楷体" w:hAnsi="华文楷体" w:eastAsia="华文楷体"/>
          <w:b/>
          <w:sz w:val="28"/>
          <w:szCs w:val="28"/>
        </w:rPr>
        <w:t>【</w:t>
      </w:r>
      <w:r>
        <w:rPr>
          <w:rFonts w:hint="eastAsia" w:ascii="仿宋" w:hAnsi="仿宋" w:eastAsia="仿宋" w:cs="仿宋"/>
          <w:b/>
          <w:color w:val="000000"/>
          <w:sz w:val="28"/>
          <w:szCs w:val="28"/>
        </w:rPr>
        <w:t>纪律处分及监管措施</w:t>
      </w:r>
      <w:r>
        <w:rPr>
          <w:rFonts w:hint="eastAsia" w:ascii="华文楷体" w:hAnsi="华文楷体" w:eastAsia="华文楷体"/>
          <w:b/>
          <w:sz w:val="28"/>
          <w:szCs w:val="28"/>
        </w:rPr>
        <w:t>】</w:t>
      </w:r>
      <w:r>
        <w:rPr>
          <w:rFonts w:ascii="华文楷体" w:hAnsi="华文楷体" w:eastAsia="华文楷体"/>
          <w:b/>
          <w:sz w:val="28"/>
          <w:szCs w:val="28"/>
        </w:rPr>
        <w:tab/>
      </w:r>
    </w:p>
    <w:p>
      <w:pPr>
        <w:spacing w:line="360" w:lineRule="auto"/>
        <w:ind w:firstLine="560" w:firstLineChars="200"/>
        <w:rPr>
          <w:rFonts w:ascii="华文楷体" w:hAnsi="华文楷体" w:eastAsia="华文楷体"/>
          <w:sz w:val="28"/>
          <w:szCs w:val="28"/>
        </w:rPr>
      </w:pPr>
      <w:r>
        <w:rPr>
          <w:rFonts w:hint="eastAsia" w:ascii="仿宋" w:hAnsi="仿宋" w:eastAsia="仿宋" w:cs="仿宋"/>
          <w:color w:val="000000"/>
          <w:sz w:val="28"/>
          <w:szCs w:val="28"/>
        </w:rPr>
        <w:t>深圳证券交易所认为，上述行为违反了《深圳证券交易所股票上市规则（</w:t>
      </w:r>
      <w:r>
        <w:rPr>
          <w:rFonts w:ascii="仿宋" w:hAnsi="仿宋" w:eastAsia="仿宋" w:cs="仿宋"/>
          <w:color w:val="000000"/>
          <w:sz w:val="28"/>
          <w:szCs w:val="28"/>
        </w:rPr>
        <w:t>2022年</w:t>
      </w:r>
      <w:r>
        <w:rPr>
          <w:rFonts w:hint="eastAsia" w:ascii="仿宋" w:hAnsi="仿宋" w:eastAsia="仿宋" w:cs="仿宋"/>
          <w:color w:val="000000"/>
          <w:sz w:val="28"/>
          <w:szCs w:val="28"/>
        </w:rPr>
        <w:t>修订）》第</w:t>
      </w:r>
      <w:r>
        <w:rPr>
          <w:rFonts w:ascii="仿宋" w:hAnsi="仿宋" w:eastAsia="仿宋" w:cs="仿宋"/>
          <w:color w:val="000000"/>
          <w:sz w:val="28"/>
          <w:szCs w:val="28"/>
        </w:rPr>
        <w:t>1.4条、第7.4.2条的规定，公司董事长兼代董事会</w:t>
      </w:r>
      <w:r>
        <w:rPr>
          <w:rFonts w:hint="eastAsia" w:ascii="仿宋" w:hAnsi="仿宋" w:eastAsia="仿宋" w:cs="仿宋"/>
          <w:color w:val="000000"/>
          <w:sz w:val="28"/>
          <w:szCs w:val="28"/>
        </w:rPr>
        <w:t>秘书的上述行为违反了《深圳证券交易所股票上市规则（</w:t>
      </w:r>
      <w:r>
        <w:rPr>
          <w:rFonts w:ascii="仿宋" w:hAnsi="仿宋" w:eastAsia="仿宋" w:cs="仿宋"/>
          <w:color w:val="000000"/>
          <w:sz w:val="28"/>
          <w:szCs w:val="28"/>
        </w:rPr>
        <w:t>2022年修</w:t>
      </w:r>
      <w:r>
        <w:rPr>
          <w:rFonts w:hint="eastAsia" w:ascii="仿宋" w:hAnsi="仿宋" w:eastAsia="仿宋" w:cs="仿宋"/>
          <w:color w:val="000000"/>
          <w:sz w:val="28"/>
          <w:szCs w:val="28"/>
        </w:rPr>
        <w:t>订）》第</w:t>
      </w:r>
      <w:r>
        <w:rPr>
          <w:rFonts w:ascii="仿宋" w:hAnsi="仿宋" w:eastAsia="仿宋" w:cs="仿宋"/>
          <w:color w:val="000000"/>
          <w:sz w:val="28"/>
          <w:szCs w:val="28"/>
        </w:rPr>
        <w:t>1.4条、第4.3.1条和第4.3.5条的规定，公司总经理</w:t>
      </w:r>
      <w:r>
        <w:rPr>
          <w:rFonts w:hint="eastAsia" w:ascii="仿宋" w:hAnsi="仿宋" w:eastAsia="仿宋" w:cs="仿宋"/>
          <w:color w:val="000000"/>
          <w:sz w:val="28"/>
          <w:szCs w:val="28"/>
        </w:rPr>
        <w:t>的上述行为违反了《深圳证券交易所股票上市规则（</w:t>
      </w:r>
      <w:r>
        <w:rPr>
          <w:rFonts w:ascii="仿宋" w:hAnsi="仿宋" w:eastAsia="仿宋" w:cs="仿宋"/>
          <w:color w:val="000000"/>
          <w:sz w:val="28"/>
          <w:szCs w:val="28"/>
        </w:rPr>
        <w:t>2022年修订）》第1.4条、第4.3.1条的规定</w:t>
      </w:r>
      <w:r>
        <w:rPr>
          <w:rFonts w:hint="eastAsia" w:ascii="仿宋" w:hAnsi="仿宋" w:eastAsia="仿宋" w:cs="仿宋"/>
          <w:color w:val="000000"/>
          <w:sz w:val="28"/>
          <w:szCs w:val="28"/>
        </w:rPr>
        <w:t>，于2</w:t>
      </w:r>
      <w:r>
        <w:rPr>
          <w:rFonts w:ascii="仿宋" w:hAnsi="仿宋" w:eastAsia="仿宋" w:cs="仿宋"/>
          <w:color w:val="000000"/>
          <w:sz w:val="28"/>
          <w:szCs w:val="28"/>
        </w:rPr>
        <w:t>023年1月6日</w:t>
      </w:r>
      <w:r>
        <w:rPr>
          <w:rFonts w:hint="eastAsia" w:ascii="仿宋" w:hAnsi="仿宋" w:eastAsia="仿宋" w:cs="仿宋"/>
          <w:color w:val="000000"/>
          <w:sz w:val="28"/>
          <w:szCs w:val="28"/>
        </w:rPr>
        <w:t>对上市公司及相关责任人下发了监管函。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《深圳证券交易所股票上市规则（</w:t>
      </w:r>
      <w:r>
        <w:rPr>
          <w:rFonts w:ascii="仿宋" w:hAnsi="仿宋" w:eastAsia="仿宋" w:cs="仿宋"/>
          <w:b/>
          <w:color w:val="000000"/>
          <w:sz w:val="28"/>
          <w:szCs w:val="28"/>
          <w:u w:val="single"/>
        </w:rPr>
        <w:t>2022年1月修订）》</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7.4.1　上市公司发生的下列诉讼、仲裁事项应当及时披露：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（一）涉案金额超过一千万元，且占上市公司最近一期经审计净资产绝对值</w:t>
      </w:r>
      <w:r>
        <w:rPr>
          <w:rFonts w:ascii="仿宋" w:hAnsi="仿宋" w:eastAsia="仿宋" w:cs="仿宋"/>
          <w:color w:val="000000"/>
          <w:sz w:val="28"/>
          <w:szCs w:val="28"/>
        </w:rPr>
        <w:t>10%以上；</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（二）涉及上市公司股东大会、董事会决议被申请撤销或者宣告无效的诉讼；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（三）证券纠纷代表人诉讼。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未达到前款标准或者没有具体涉案金额的诉讼、仲裁事项，可能对上市公司股票及其衍生品种交易价格产生较大影响的，公司也应当及时披露。</w:t>
      </w:r>
    </w:p>
    <w:p>
      <w:pPr>
        <w:spacing w:line="360" w:lineRule="auto"/>
        <w:ind w:firstLine="560" w:firstLineChars="200"/>
        <w:rPr>
          <w:rFonts w:ascii="华文楷体" w:hAnsi="华文楷体" w:eastAsia="华文楷体"/>
          <w:sz w:val="28"/>
          <w:szCs w:val="28"/>
        </w:rPr>
      </w:pPr>
      <w:r>
        <w:rPr>
          <w:rFonts w:ascii="仿宋" w:hAnsi="仿宋" w:eastAsia="仿宋" w:cs="仿宋"/>
          <w:color w:val="000000"/>
          <w:sz w:val="28"/>
          <w:szCs w:val="28"/>
        </w:rPr>
        <w:t>7.4.2　上市公司连续十二个月内发生的诉讼、仲裁事项，涉案金额累计达到本规则第7.4.1条第一款第（一）项所述标准的，适用本规则第7.4.1条的规定。</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发生重大诉讼、仲裁事项，可能对公司证券及其衍生品种交易价格产生较大影响；因此，上市公司发生相关事项时应当及时披露，提示相关风险。信公君提示，对于诉讼、仲裁事项，上市公司可以建立管理台账，列明每笔诉讼或仲裁事项发生的日期和涉案金额，密切关注累计涉案金额是否达到披露标准，以免出现违法违规情形。</w:t>
      </w:r>
    </w:p>
    <w:p>
      <w:pPr>
        <w:spacing w:line="360" w:lineRule="auto"/>
        <w:ind w:firstLine="560" w:firstLineChars="200"/>
        <w:rPr>
          <w:rFonts w:ascii="仿宋" w:hAnsi="仿宋" w:eastAsia="仿宋" w:cs="仿宋"/>
          <w:sz w:val="28"/>
          <w:szCs w:val="28"/>
        </w:rPr>
      </w:pPr>
      <w:r>
        <w:rPr>
          <w:rFonts w:ascii="仿宋" w:hAnsi="仿宋" w:eastAsia="仿宋" w:cs="Arial"/>
          <w:sz w:val="28"/>
          <w:szCs w:val="28"/>
        </w:rPr>
        <w:br w:type="page"/>
      </w:r>
    </w:p>
    <w:p>
      <w:pPr>
        <w:spacing w:before="156" w:beforeLines="50" w:after="156" w:afterLines="50"/>
        <w:rPr>
          <w:rFonts w:ascii="楷体" w:hAnsi="楷体" w:eastAsia="楷体" w:cs="Calibri"/>
          <w:b/>
          <w:sz w:val="28"/>
        </w:rPr>
      </w:pPr>
      <w:r>
        <w:rPr>
          <w:rFonts w:ascii="楷体" w:hAnsi="楷体" w:eastAsia="楷体" w:cs="Calibri"/>
          <w:b/>
          <w:sz w:val="28"/>
        </w:rPr>
        <w:t>附件：业绩预告/快报事项</w:t>
      </w:r>
    </w:p>
    <w:tbl>
      <w:tblPr>
        <w:tblStyle w:val="1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13"/>
        <w:gridCol w:w="1308"/>
        <w:gridCol w:w="1158"/>
        <w:gridCol w:w="1218"/>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778" w:type="pct"/>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775" w:type="pct"/>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686" w:type="pct"/>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722" w:type="pct"/>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1606" w:type="pct"/>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002535.SZ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ST林重</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第1次2022年年报业绩预告，公司业绩扭亏，预测业绩：净利润约1250.0万元~1850.0万元。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300701.SZ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森霸传感</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第1次2022年年报业绩预告，公司业绩预减，预测业绩：净利润约3403.11万元~5098.38万元,变动幅度为:-72.9%~-59.4%。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600781.SH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*ST辅仁</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第1次2022年年报业绩预告，公司业绩续亏，预测业绩：净利润约-265000.00万元~-225000.00万元。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600810.SH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神马股份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第1次2022年年报业绩预告，公司业绩预减，预测业绩：净利润约32000.00万元~42000.00万元,减少85.08%~80.41%。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300807.SZ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天迈科技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第1次2022年年报业绩预告，公司业绩续亏，预测业绩：净利润约-1100.0万元~-750.0万元。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301071.SZ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力量钻石</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第1次2022年年报业绩预告，公司业绩预增，预测业绩：净利润约44500.0万元~47500.0万元,变动幅度为:85.76%~98.28%。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7</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001896.SZ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豫能控股</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第1次2022年年报业绩预告，公司业绩续亏，预测业绩：净利润约-230000.0万元~-195000.0万元。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601038.SH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一拖股份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第1次2022年年报业绩预告，公司业绩预增，预测业绩：净利润约75500.00万元~83000.00万元,增加72.37%~89.50%。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9</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002714.SZ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牧原股份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第1次2022年年报业绩预告，公司业绩预增，预测业绩：净利润约1200000.0万元~1400000.0万元,变动幅度为:73.82%~102.79%。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10</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600020.SH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中原高速</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第1次2022年年报业绩预告，公司业绩预减，预测业绩：净利润约9215.4600万元~18880.5500万元,减少87.60%~74.60%。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002087.SZ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新野纺织</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第1次2022年年报业绩预告，公司业绩首亏，预测业绩：净利润约-48000.0万元~-43000.0万元,变动幅度为:-1080.64%~-978.49%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12</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601375.SH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中原证券</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第1次2022年年报业绩预告，公司业绩预减，预测业绩：净利润约10300.00万元,减少79.93%。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13</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601717.SH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郑煤机</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第1次2022年年报业绩预告，公司业绩略增，预测业绩：净利润约245000.00万元~265000.00万元,增加25.78%~36.05%。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14</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600207.SH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安彩高科</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第1次2022年年报业绩预告，公司业绩预减，预测业绩：净利润约6500.00万元~8500.00万元,减少69.02%~59.49%。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15</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838402.BJ</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硅烷科技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第1次2022年年报业绩预告，公司业绩预增，预测业绩：净利润约18500万元~19500万元,增长144.06%~157.26%。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16</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600312.SH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平高电气</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第1次2022年年报业绩预告，公司业绩预增，预测业绩：净利润约19900.00万元~21900.00万元,增加181%~209%。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17</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002321.SZ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ST华英</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第1次2022年年报业绩预告，公司业绩续亏，预测业绩：净利润约-34000.0万元~-27000.0万元。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18</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300179.SZ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四方达</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第1次2022年年报业绩预告，公司业绩预增，预测业绩：净利润约14500万元~17500万元,变动幅度为:57.56%~90.16%。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19</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002358.SZ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ST森源</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第1次2022年年报业绩预告，公司业绩扭亏，预测业绩：净利润约4000.0万元~6000.0万元,变动幅度为:108.17%~112.25%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600469.SH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风神股份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第1次2022年年报业绩预告，公司业绩扭亏，预测业绩：净利润约7000.00万元~9000.00万元。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600569.SH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安阳钢铁</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第1次2022年年报业绩预告，公司业绩首亏，预测业绩：净利润约-330000.00万元~-285000.00万元。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22</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002423.SZ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中粮资本</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第1次2022年年报业绩预告，公司业绩预减，预测业绩：净利润约52000.0万元~62000.0万元,变动幅度为:-62.0%~-55.0%。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23</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002431.SZ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棕榈股份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第1次2022年年报业绩预告，公司业绩续亏，预测业绩：净利润约-60000.0万元~-40000.0万元。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24</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300437.SZ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清水源</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第1次2022年年报业绩预告，公司业绩首亏，预测业绩：净利润约-5000.0万元~-2500.0万元。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25</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300480.SZ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光力科技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第2次2022年年报业绩预告，公司业绩略减，预测业绩：净利润约6488.83万元~9438.30万元,变动幅度为:-45.0%~-20.0%。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26</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000885.SZ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城发环境</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第1次2022年年报业绩预告，公司业绩略增，预测业绩：净利润约100000.0万元~120000.0万元,变动幅度为:3.87%~24.64%。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27</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002407.SZ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多氟多</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第1次2022年年报业绩预告，公司业绩预增，预测业绩：净利润约193000.0万元~203000.0万元,变动幅度为:53.21%~61.15%。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28</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301089.SZ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拓新药业</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第1次2022年年报业绩预告，公司业绩预增，预测业绩：净利润约26900.0万元~31100.0万元,变动幅度为:309.37%~373.28%。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29</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600121.SH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郑州煤电</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第1次2022年年报业绩预告，公司业绩扭亏，预测业绩：净利润约6000.00万元~8000.00万元。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300013.SZ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新宁物流</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第1次2022年年报业绩预告，公司业绩续亏，预测业绩：净利润约-300.0万元~-150.0万元,变动幅度为:98.42%~99.21%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2023-01-30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300080.SZ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易成新能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第1次2022年年报业绩预告，公司业绩扭亏，预测业绩：净利润约48000.0万元~62000.0万元。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32</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600222.SH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太龙药业</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第1次2022年年报业绩预告，公司业绩首亏，预测业绩：净利润约-7900.00万元~-6600.00万元。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33</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2023-01-21</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601666.SH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平煤股份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第1次2022年年报业绩预告，公司业绩预增，预测业绩：净利润约572000.00万元,增加约95.76%。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34</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300248.SZ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新开普</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第1次2022年年报业绩预告，公司业绩略减，预测业绩：净利润约10143.21万元~12880.26万元,变动幅度为:-37.0%~-20.0%。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35</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301152.SZ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天力锂能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第1次2022年年报业绩预告，公司业绩预增，预测业绩：净利润约13000.0万元~16000.0万元,变动幅度为:53.21%~88.57%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36</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301182.SZ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凯旺科技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第1次2022年年报业绩预告，公司业绩略减，预测业绩：净利润约2900.0万元~3600.0万元,变动幅度为:-46.95%~-34.15%。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37</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600595.SH</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中孚实业</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第1次2022年年报业绩预告，公司业绩预增，预测业绩：净利润约100000.00万元~110000.00万元,增加52%~68%。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38</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000933.SZ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神火股份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第1次2022年年报业绩预告，公司业绩预增，预测业绩：净利润约742000.0万元,变动幅度为:129.43%。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39</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000949.SZ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新乡化纤</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第1次2022年年报业绩预告，公司业绩首亏，预测业绩：净利润约-46000.0万元~-41000.0万元,变动幅度为:-134.0%~-130.0%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40</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002189.SZ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中光学</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第1次2022年年报业绩预告，公司业绩首亏，预测业绩：净利润约-22500.0万元~-17500.0万元,变动幅度为:-253.23%~-219.18%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002406.SZ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远东传动</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第1次2022年年报业绩预告，公司业绩预减，预测业绩：净利润约5600.0万元~7500.0万元,变动幅度为:-76.16%~-68.08%。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42</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2023-01-20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002582.SZ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好想你</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第1次2022年年报业绩预告，公司业绩首亏，预测业绩：净利润约-19800.0万元~-13800.0万元,变动幅度为:-421.25%~-323.9%。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43</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2023-01-19</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300481.SZ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濮阳惠成</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第1次2022年年报业绩预告，公司业绩预增，预测业绩：净利润约39163.97万元~44217.38万元,变动幅度为:55.0%~75.0%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44</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2023-01-19</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300109.SZ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新开源</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第1次2022年年报业绩预告，公司业绩预增，预测业绩：净利润约30000.0万元~34000.0万元,变动幅度为:44.89%~64.21%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45</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2023-01-19</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300263.SZ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隆华科技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第1次2022年年报业绩预告，公司业绩预减，预测业绩：净利润约5500.0万元~8000.0万元,变动幅度为:-81.09%~-72.5%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46</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2023-01-17</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300614.SZ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百川畅银</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第1次2022年年报业绩预告，公司业绩预减，预测业绩：净利润约3800.0万元~5500.0万元,变动幅度为:-65.14%~-49.55%。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47</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2023-01-17</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832225.BJ</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利通科技</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第1次2022年年报业绩预告，公司业绩预增，预测业绩：净利润约8299.94万元,增长175.37%。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48</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2023-01-16</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002560.SZ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通达股份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第1次2022年年报业绩预告，公司业绩预增，预测业绩：净利润约9000.0万元~12000.0万元,变动幅度为:268.66%~391.55%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49</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2023-01-10</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002225.SZ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濮耐股份</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第1次2022年年报业绩预告，公司业绩预增，预测业绩：净利润约21100.0万元~24900.0万元,变动幅度为:151.93%~197.3%。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50</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2023-01-09</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300910.SZ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瑞丰新材</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第1次2022年年报业绩预告，公司业绩预增，预测业绩：净利润约55300.0万元~61300.0万元,变动幅度为:175.0%~205.0%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51</w:t>
            </w:r>
          </w:p>
        </w:tc>
        <w:tc>
          <w:tcPr>
            <w:tcW w:w="778"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2023-01-07</w:t>
            </w:r>
          </w:p>
        </w:tc>
        <w:tc>
          <w:tcPr>
            <w:tcW w:w="775"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002046.SZ</w:t>
            </w:r>
          </w:p>
        </w:tc>
        <w:tc>
          <w:tcPr>
            <w:tcW w:w="686"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国机精工</w:t>
            </w:r>
          </w:p>
        </w:tc>
        <w:tc>
          <w:tcPr>
            <w:tcW w:w="722" w:type="pct"/>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1606" w:type="pct"/>
            <w:vAlign w:val="center"/>
          </w:tcPr>
          <w:p>
            <w:pPr>
              <w:rPr>
                <w:rFonts w:ascii="仿宋" w:hAnsi="仿宋" w:eastAsia="仿宋"/>
                <w:color w:val="000000"/>
                <w:kern w:val="0"/>
                <w:szCs w:val="21"/>
              </w:rPr>
            </w:pPr>
            <w:r>
              <w:rPr>
                <w:rFonts w:hint="eastAsia" w:ascii="仿宋" w:hAnsi="仿宋" w:eastAsia="仿宋"/>
                <w:color w:val="000000"/>
                <w:kern w:val="0"/>
                <w:szCs w:val="21"/>
              </w:rPr>
              <w:t>第1次2022年年报业绩预告，公司业绩预增，预测业绩：净利润约20000.0万元~26000.0万元,变动幅度为:57.01%~104.11%。</w:t>
            </w:r>
          </w:p>
        </w:tc>
      </w:tr>
    </w:tbl>
    <w:p>
      <w:pPr>
        <w:spacing w:line="360" w:lineRule="auto"/>
        <w:rPr>
          <w:rFonts w:ascii="仿宋" w:hAnsi="仿宋" w:eastAsia="仿宋" w:cs="仿宋"/>
          <w:color w:val="000000"/>
          <w:sz w:val="28"/>
          <w:szCs w:val="28"/>
        </w:rPr>
      </w:pPr>
    </w:p>
    <w:p>
      <w:pPr>
        <w:ind w:firstLine="560" w:firstLineChars="200"/>
        <w:rPr>
          <w:rFonts w:ascii="仿宋" w:hAnsi="仿宋" w:eastAsia="仿宋" w:cs="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MGVmMjU4ZjAwN2U3NzEwM2Q3ZDg1Y2FiMGI1ZmIifQ=="/>
    <w:docVar w:name="KSO_WPS_MARK_KEY" w:val="5ae11a66-5c67-485a-aa2c-2e3bd22e0caf"/>
  </w:docVars>
  <w:rsids>
    <w:rsidRoot w:val="5CA456FA"/>
    <w:rsid w:val="00027B61"/>
    <w:rsid w:val="00055806"/>
    <w:rsid w:val="00074D92"/>
    <w:rsid w:val="00091ABF"/>
    <w:rsid w:val="000925A6"/>
    <w:rsid w:val="0009665A"/>
    <w:rsid w:val="000A67F1"/>
    <w:rsid w:val="000C5837"/>
    <w:rsid w:val="000D244B"/>
    <w:rsid w:val="000D2958"/>
    <w:rsid w:val="000F17CD"/>
    <w:rsid w:val="00113C20"/>
    <w:rsid w:val="001201C0"/>
    <w:rsid w:val="00134CA8"/>
    <w:rsid w:val="00135E58"/>
    <w:rsid w:val="00144A2B"/>
    <w:rsid w:val="001711F8"/>
    <w:rsid w:val="001733F4"/>
    <w:rsid w:val="001847E3"/>
    <w:rsid w:val="001C32EE"/>
    <w:rsid w:val="001C50C6"/>
    <w:rsid w:val="001E5072"/>
    <w:rsid w:val="001F1EDE"/>
    <w:rsid w:val="001F4D06"/>
    <w:rsid w:val="002071AC"/>
    <w:rsid w:val="002202DE"/>
    <w:rsid w:val="0023716C"/>
    <w:rsid w:val="00267BC5"/>
    <w:rsid w:val="002836A6"/>
    <w:rsid w:val="002860E7"/>
    <w:rsid w:val="00290F23"/>
    <w:rsid w:val="00297316"/>
    <w:rsid w:val="002B5AF4"/>
    <w:rsid w:val="002C52F1"/>
    <w:rsid w:val="002D2431"/>
    <w:rsid w:val="002D46AF"/>
    <w:rsid w:val="00300266"/>
    <w:rsid w:val="00331A91"/>
    <w:rsid w:val="003C4874"/>
    <w:rsid w:val="003D5EA3"/>
    <w:rsid w:val="004776BC"/>
    <w:rsid w:val="004B00E5"/>
    <w:rsid w:val="004B0A46"/>
    <w:rsid w:val="004E478B"/>
    <w:rsid w:val="00502292"/>
    <w:rsid w:val="00547C26"/>
    <w:rsid w:val="00553805"/>
    <w:rsid w:val="00567A23"/>
    <w:rsid w:val="005F7EAF"/>
    <w:rsid w:val="0061175C"/>
    <w:rsid w:val="00631B20"/>
    <w:rsid w:val="00634DD8"/>
    <w:rsid w:val="00662752"/>
    <w:rsid w:val="00692BDF"/>
    <w:rsid w:val="006A2010"/>
    <w:rsid w:val="006B4BC7"/>
    <w:rsid w:val="006E4910"/>
    <w:rsid w:val="00702FC4"/>
    <w:rsid w:val="00717D4D"/>
    <w:rsid w:val="00724622"/>
    <w:rsid w:val="007702B8"/>
    <w:rsid w:val="0077380A"/>
    <w:rsid w:val="007A5E44"/>
    <w:rsid w:val="007F0773"/>
    <w:rsid w:val="0080237F"/>
    <w:rsid w:val="00826673"/>
    <w:rsid w:val="00832BA2"/>
    <w:rsid w:val="008D5A8B"/>
    <w:rsid w:val="008F4735"/>
    <w:rsid w:val="00903C76"/>
    <w:rsid w:val="00905FA6"/>
    <w:rsid w:val="0091307C"/>
    <w:rsid w:val="00917048"/>
    <w:rsid w:val="009233CE"/>
    <w:rsid w:val="0093672A"/>
    <w:rsid w:val="00942464"/>
    <w:rsid w:val="00947D35"/>
    <w:rsid w:val="00967ED2"/>
    <w:rsid w:val="009B4AF1"/>
    <w:rsid w:val="009E002F"/>
    <w:rsid w:val="009E393D"/>
    <w:rsid w:val="00A0048E"/>
    <w:rsid w:val="00A05CD4"/>
    <w:rsid w:val="00A114DB"/>
    <w:rsid w:val="00A2065C"/>
    <w:rsid w:val="00A25C9D"/>
    <w:rsid w:val="00A450DC"/>
    <w:rsid w:val="00AB7415"/>
    <w:rsid w:val="00AD0932"/>
    <w:rsid w:val="00AE2C15"/>
    <w:rsid w:val="00AE5641"/>
    <w:rsid w:val="00AF1881"/>
    <w:rsid w:val="00AF5A65"/>
    <w:rsid w:val="00B12211"/>
    <w:rsid w:val="00B150AF"/>
    <w:rsid w:val="00B170F0"/>
    <w:rsid w:val="00B254BA"/>
    <w:rsid w:val="00B40A50"/>
    <w:rsid w:val="00BB6E5C"/>
    <w:rsid w:val="00BC71BE"/>
    <w:rsid w:val="00BF15A3"/>
    <w:rsid w:val="00BF36C0"/>
    <w:rsid w:val="00C00C58"/>
    <w:rsid w:val="00C063F5"/>
    <w:rsid w:val="00C14AC7"/>
    <w:rsid w:val="00C20374"/>
    <w:rsid w:val="00C32F2C"/>
    <w:rsid w:val="00C4787B"/>
    <w:rsid w:val="00C50CF6"/>
    <w:rsid w:val="00C84EF7"/>
    <w:rsid w:val="00C97ABB"/>
    <w:rsid w:val="00D11FF0"/>
    <w:rsid w:val="00D1597E"/>
    <w:rsid w:val="00D33A82"/>
    <w:rsid w:val="00D4346F"/>
    <w:rsid w:val="00D4366B"/>
    <w:rsid w:val="00D803FB"/>
    <w:rsid w:val="00DD6843"/>
    <w:rsid w:val="00DF64B8"/>
    <w:rsid w:val="00E10725"/>
    <w:rsid w:val="00E150E0"/>
    <w:rsid w:val="00E267AF"/>
    <w:rsid w:val="00E379EA"/>
    <w:rsid w:val="00EC1EBA"/>
    <w:rsid w:val="00EE46E1"/>
    <w:rsid w:val="00F0475F"/>
    <w:rsid w:val="00F216F4"/>
    <w:rsid w:val="00F33C71"/>
    <w:rsid w:val="00F439F3"/>
    <w:rsid w:val="00F44290"/>
    <w:rsid w:val="00F91887"/>
    <w:rsid w:val="00F94756"/>
    <w:rsid w:val="00FA2724"/>
    <w:rsid w:val="00FC33B8"/>
    <w:rsid w:val="00FC35A1"/>
    <w:rsid w:val="00FE5E55"/>
    <w:rsid w:val="00FF5D07"/>
    <w:rsid w:val="04A80D8D"/>
    <w:rsid w:val="05B84013"/>
    <w:rsid w:val="08324530"/>
    <w:rsid w:val="0C921E01"/>
    <w:rsid w:val="0CE739D3"/>
    <w:rsid w:val="0EB21298"/>
    <w:rsid w:val="111E6522"/>
    <w:rsid w:val="125E4D69"/>
    <w:rsid w:val="13B83BFB"/>
    <w:rsid w:val="16410068"/>
    <w:rsid w:val="19EE4F90"/>
    <w:rsid w:val="1C167757"/>
    <w:rsid w:val="1D7401E2"/>
    <w:rsid w:val="23713A97"/>
    <w:rsid w:val="242B5EFD"/>
    <w:rsid w:val="2AF472D7"/>
    <w:rsid w:val="2B1310D3"/>
    <w:rsid w:val="2DE34E7D"/>
    <w:rsid w:val="30AC56BF"/>
    <w:rsid w:val="3133249E"/>
    <w:rsid w:val="35F338D5"/>
    <w:rsid w:val="383B2000"/>
    <w:rsid w:val="3BA772D0"/>
    <w:rsid w:val="3C7270B7"/>
    <w:rsid w:val="3D151522"/>
    <w:rsid w:val="3F026E8C"/>
    <w:rsid w:val="48372E08"/>
    <w:rsid w:val="4ABF3832"/>
    <w:rsid w:val="4C593862"/>
    <w:rsid w:val="4E194203"/>
    <w:rsid w:val="4EAF0CE9"/>
    <w:rsid w:val="532478FF"/>
    <w:rsid w:val="55BF28E5"/>
    <w:rsid w:val="575B4600"/>
    <w:rsid w:val="5CA456FA"/>
    <w:rsid w:val="66E64067"/>
    <w:rsid w:val="68110D0F"/>
    <w:rsid w:val="6AB93D7E"/>
    <w:rsid w:val="6D535020"/>
    <w:rsid w:val="725158F8"/>
    <w:rsid w:val="7A252E95"/>
    <w:rsid w:val="7AA66BF9"/>
    <w:rsid w:val="7F6F05A5"/>
    <w:rsid w:val="7FEB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 w:type="paragraph" w:styleId="22">
    <w:name w:val="List Paragraph"/>
    <w:basedOn w:val="1"/>
    <w:qFormat/>
    <w:uiPriority w:val="34"/>
    <w:pPr>
      <w:ind w:firstLine="420" w:firstLineChars="200"/>
    </w:pPr>
  </w:style>
  <w:style w:type="paragraph" w:customStyle="1" w:styleId="23">
    <w:name w:val="w-p"/>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FangcloudV2\personal_space\&#20010;&#20154;&#20449;&#24687;&#36164;&#26009;&#22841;\&#20449;&#20844;&#24037;&#20316;&#36164;&#26009;-ZY\&#12304;&#26376;&#26411;&#33267;&#26376;&#21021;&#12305;A&#26376;&#24230;&#19978;&#21327;&#24555;&#25253;\2023&#24180;&#26680;&#23545;&#22823;&#34920;\2023&#24180;1&#26376;&#26680;&#23545;&#22823;&#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FangcloudV2\personal_space\&#20010;&#20154;&#20449;&#24687;&#36164;&#26009;&#22841;\&#20449;&#20844;&#24037;&#20316;&#36164;&#26009;-ZY\&#12304;&#26376;&#26411;&#33267;&#26376;&#21021;&#12305;A&#26376;&#24230;&#19978;&#21327;&#24555;&#25253;\2023&#24180;&#26680;&#23545;&#22823;&#34920;\2023&#24180;1&#26376;&#26680;&#23545;&#22823;&#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[2023年1月核对大表.xlsx]Sheet3!数据透视表1</c:name>
    <c:fmtId val="-1"/>
  </c:pivotSource>
  <c:chart>
    <c:autoTitleDeleted val="1"/>
    <c:plotArea>
      <c:layout>
        <c:manualLayout>
          <c:layoutTarget val="inner"/>
          <c:xMode val="edge"/>
          <c:yMode val="edge"/>
          <c:x val="0.271989389920424"/>
          <c:y val="0.118032036613272"/>
          <c:w val="0.45867374005305"/>
          <c:h val="0.791395881006865"/>
        </c:manualLayout>
      </c:layout>
      <c:pieChart>
        <c:varyColors val="1"/>
        <c:ser>
          <c:idx val="0"/>
          <c:order val="0"/>
          <c:tx>
            <c:strRef>
              <c:f>Sheet3!$I$33</c:f>
              <c:strCache>
                <c:ptCount val="1"/>
                <c:pt idx="0">
                  <c:v>汇总</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211584523834388"/>
                  <c:y val="0.0851241413759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90065291904824"/>
                  <c:y val="-0.06415292684619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2072952129326"/>
                  <c:y val="-0.007033212310131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02051429993665"/>
                  <c:y val="0.057432547166348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376010359447777"/>
                  <c:y val="0.05913728175282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25797322416926"/>
                  <c:y val="0.06740499828825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941248906386702"/>
                      <c:h val="0.130578885972587"/>
                    </c:manualLayout>
                  </c15:layout>
                </c:ext>
              </c:extLst>
            </c:dLbl>
            <c:dLbl>
              <c:idx val="6"/>
              <c:layout>
                <c:manualLayout>
                  <c:x val="0.0170951774264292"/>
                  <c:y val="0.01552316257950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496547546941248"/>
                  <c:y val="0.001157498333303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14099438167046"/>
                  <c:y val="0.008022306708228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8328912466843"/>
                      <c:h val="0.147391484531253"/>
                    </c:manualLayout>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Sheet3!$H$34:$H$43</c:f>
              <c:strCache>
                <c:ptCount val="9"/>
                <c:pt idx="0">
                  <c:v>材料</c:v>
                </c:pt>
                <c:pt idx="1">
                  <c:v>日常消费</c:v>
                </c:pt>
                <c:pt idx="2">
                  <c:v>工业</c:v>
                </c:pt>
                <c:pt idx="3">
                  <c:v>信息技术</c:v>
                </c:pt>
                <c:pt idx="4">
                  <c:v>医疗保健</c:v>
                </c:pt>
                <c:pt idx="5">
                  <c:v>金融</c:v>
                </c:pt>
                <c:pt idx="6">
                  <c:v>可选消费</c:v>
                </c:pt>
                <c:pt idx="7">
                  <c:v>能源</c:v>
                </c:pt>
                <c:pt idx="8">
                  <c:v>公用事业</c:v>
                </c:pt>
              </c:strCache>
            </c:strRef>
          </c:cat>
          <c:val>
            <c:numRef>
              <c:f>Sheet3!$I$34:$I$43</c:f>
              <c:numCache>
                <c:formatCode>General</c:formatCode>
                <c:ptCount val="9"/>
                <c:pt idx="0">
                  <c:v>4234.5312038052</c:v>
                </c:pt>
                <c:pt idx="1">
                  <c:v>4080.84440741</c:v>
                </c:pt>
                <c:pt idx="2">
                  <c:v>2005.9306241627</c:v>
                </c:pt>
                <c:pt idx="3">
                  <c:v>1596.4381869979</c:v>
                </c:pt>
                <c:pt idx="4">
                  <c:v>1403.0431314319</c:v>
                </c:pt>
                <c:pt idx="5">
                  <c:v>552.9743870258</c:v>
                </c:pt>
                <c:pt idx="6">
                  <c:v>452.4405566655</c:v>
                </c:pt>
                <c:pt idx="7">
                  <c:v>443.4987710997</c:v>
                </c:pt>
                <c:pt idx="8">
                  <c:v>204.7696273404</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sz="1000">
          <a:solidFill>
            <a:sysClr val="windowText" lastClr="000000"/>
          </a:solidFill>
          <a:latin typeface="+mn-lt"/>
        </a:defRPr>
      </a:pPr>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Sheet3!$B$15</c:f>
              <c:strCache>
                <c:ptCount val="1"/>
                <c:pt idx="0">
                  <c:v>总市值 [2023-01-31] [亿元]</c:v>
                </c:pt>
              </c:strCache>
            </c:strRef>
          </c:tx>
          <c:spPr>
            <a:solidFill>
              <a:srgbClr val="C0504D"/>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Sheet3!$A$16:$A$25</c:f>
              <c:strCache>
                <c:ptCount val="10"/>
                <c:pt idx="0">
                  <c:v>牧原股份</c:v>
                </c:pt>
                <c:pt idx="1">
                  <c:v>洛阳钼业</c:v>
                </c:pt>
                <c:pt idx="2">
                  <c:v>中航光电</c:v>
                </c:pt>
                <c:pt idx="3">
                  <c:v>双汇发展</c:v>
                </c:pt>
                <c:pt idx="4">
                  <c:v>龙佰集团</c:v>
                </c:pt>
                <c:pt idx="5">
                  <c:v>华兰生物</c:v>
                </c:pt>
                <c:pt idx="6">
                  <c:v>神火股份</c:v>
                </c:pt>
                <c:pt idx="7">
                  <c:v>安图生物</c:v>
                </c:pt>
                <c:pt idx="8">
                  <c:v>多氟多</c:v>
                </c:pt>
                <c:pt idx="9">
                  <c:v>平煤股份</c:v>
                </c:pt>
              </c:strCache>
            </c:strRef>
          </c:cat>
          <c:val>
            <c:numRef>
              <c:f>Sheet3!$B$16:$B$25</c:f>
              <c:numCache>
                <c:formatCode>0.00_);[Red]\(0.00\)</c:formatCode>
                <c:ptCount val="10"/>
                <c:pt idx="0">
                  <c:v>2732.8586635592</c:v>
                </c:pt>
                <c:pt idx="1">
                  <c:v>1224.6769410561</c:v>
                </c:pt>
                <c:pt idx="2">
                  <c:v>941.581010768</c:v>
                </c:pt>
                <c:pt idx="3">
                  <c:v>883.488609315</c:v>
                </c:pt>
                <c:pt idx="4">
                  <c:v>498.1062713504</c:v>
                </c:pt>
                <c:pt idx="5">
                  <c:v>406.833779898</c:v>
                </c:pt>
                <c:pt idx="6">
                  <c:v>394.5979525577</c:v>
                </c:pt>
                <c:pt idx="7">
                  <c:v>386.2947894784</c:v>
                </c:pt>
                <c:pt idx="8">
                  <c:v>282.2030901876</c:v>
                </c:pt>
                <c:pt idx="9">
                  <c:v>260.9248381285</c:v>
                </c:pt>
              </c:numCache>
            </c:numRef>
          </c:val>
        </c:ser>
        <c:dLbls>
          <c:showLegendKey val="0"/>
          <c:showVal val="1"/>
          <c:showCatName val="0"/>
          <c:showSerName val="0"/>
          <c:showPercent val="0"/>
          <c:showBubbleSize val="0"/>
        </c:dLbls>
        <c:gapWidth val="75"/>
        <c:axId val="1789605359"/>
        <c:axId val="1789607023"/>
      </c:barChart>
      <c:catAx>
        <c:axId val="178960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789607023"/>
        <c:crosses val="autoZero"/>
        <c:auto val="1"/>
        <c:lblAlgn val="ctr"/>
        <c:lblOffset val="100"/>
        <c:noMultiLvlLbl val="0"/>
      </c:catAx>
      <c:valAx>
        <c:axId val="1789607023"/>
        <c:scaling>
          <c:orientation val="minMax"/>
          <c:max val="2800"/>
        </c:scaling>
        <c:delete val="0"/>
        <c:axPos val="l"/>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789605359"/>
        <c:crosses val="autoZero"/>
        <c:crossBetween val="between"/>
        <c:majorUnit val="7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ysClr val="windowText" lastClr="000000"/>
          </a:solidFill>
          <a:latin typeface="+mn-lt"/>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牧原股份</c:v>
                </c:pt>
                <c:pt idx="1">
                  <c:v>通达股份</c:v>
                </c:pt>
                <c:pt idx="2">
                  <c:v>洛阳钼业</c:v>
                </c:pt>
                <c:pt idx="3">
                  <c:v>中航光电</c:v>
                </c:pt>
                <c:pt idx="4">
                  <c:v>多氟多</c:v>
                </c:pt>
                <c:pt idx="5">
                  <c:v>神火股份</c:v>
                </c:pt>
                <c:pt idx="6">
                  <c:v>华兰生物</c:v>
                </c:pt>
                <c:pt idx="7">
                  <c:v>许继电气</c:v>
                </c:pt>
                <c:pt idx="8">
                  <c:v>明泰铝业</c:v>
                </c:pt>
                <c:pt idx="9">
                  <c:v>新强联</c:v>
                </c:pt>
              </c:strCache>
            </c:strRef>
          </c:cat>
          <c:val>
            <c:numRef>
              <c:f>Sheet1!$B$2:$B$11</c:f>
              <c:numCache>
                <c:formatCode>###,###,###,##0.0000</c:formatCode>
                <c:ptCount val="10"/>
                <c:pt idx="0">
                  <c:v>251.06</c:v>
                </c:pt>
                <c:pt idx="1">
                  <c:v>130.51</c:v>
                </c:pt>
                <c:pt idx="2">
                  <c:v>118.93</c:v>
                </c:pt>
                <c:pt idx="3">
                  <c:v>90.2</c:v>
                </c:pt>
                <c:pt idx="4">
                  <c:v>85.95</c:v>
                </c:pt>
                <c:pt idx="5">
                  <c:v>84.59</c:v>
                </c:pt>
                <c:pt idx="6">
                  <c:v>77.61</c:v>
                </c:pt>
                <c:pt idx="7">
                  <c:v>64.94</c:v>
                </c:pt>
                <c:pt idx="8">
                  <c:v>62.88</c:v>
                </c:pt>
                <c:pt idx="9">
                  <c:v>61.1</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300"/>
          <c:min val="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75"/>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18AA-D9D2-4920-9FD1-322A11C8A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11517</Words>
  <Characters>16110</Characters>
  <Lines>121</Lines>
  <Paragraphs>34</Paragraphs>
  <TotalTime>1</TotalTime>
  <ScaleCrop>false</ScaleCrop>
  <LinksUpToDate>false</LinksUpToDate>
  <CharactersWithSpaces>16190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2023-02-08T09:35:00Z</dcterms:created>
  <dc:creator>Annie</dc:creator>
  <cp:lastModifiedBy>北乔峰</cp:lastModifiedBy>
  <cp:lastPrinted>2019-03-05T16:32:00Z</cp:lastPrinted>
  <dcterms:modified xsi:type="dcterms:W3CDTF">2023-02-09T08:53:51Z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ADE703E0744D4EC3B64586091A6481CF</vt:lpwstr>
  </property>
</Properties>
</file>