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4月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sz w:val="28"/>
        </w:rPr>
        <w:t>河南上市公司协会联合上海信公科技集团股份有限公司，就河南辖区上市公司2023年</w:t>
      </w:r>
      <w:r>
        <w:rPr>
          <w:rFonts w:hint="eastAsia" w:ascii="仿宋" w:hAnsi="仿宋" w:eastAsia="仿宋"/>
          <w:sz w:val="28"/>
          <w:lang w:val="en-US" w:eastAsia="zh-CN"/>
        </w:rPr>
        <w:t>4</w:t>
      </w:r>
      <w:r>
        <w:rPr>
          <w:rFonts w:hint="eastAsia" w:ascii="仿宋" w:hAnsi="仿宋" w:eastAsia="仿宋"/>
          <w:sz w:val="28"/>
        </w:rPr>
        <w:t>月份市场表现及公开披露的相关信息进行归纳总结、对比分析，具体如下：</w:t>
      </w:r>
      <w:bookmarkStart w:id="0" w:name="_GoBack"/>
      <w:bookmarkEnd w:id="0"/>
    </w:p>
    <w:p>
      <w:pPr>
        <w:spacing w:after="156" w:afterLines="50" w:line="360" w:lineRule="auto"/>
        <w:rPr>
          <w:rFonts w:ascii="仿宋" w:hAnsi="仿宋" w:eastAsia="仿宋"/>
          <w:b/>
          <w:sz w:val="28"/>
        </w:rPr>
      </w:pPr>
      <w:r>
        <w:rPr>
          <w:rFonts w:hint="eastAsia" w:ascii="仿宋" w:hAnsi="仿宋" w:eastAsia="仿宋"/>
          <w:b/>
          <w:sz w:val="28"/>
        </w:rPr>
        <w:t>一、四</w:t>
      </w:r>
      <w:r>
        <w:rPr>
          <w:rFonts w:ascii="仿宋" w:hAnsi="仿宋" w:eastAsia="仿宋"/>
          <w:b/>
          <w:sz w:val="28"/>
        </w:rPr>
        <w:t>月</w:t>
      </w:r>
      <w:r>
        <w:rPr>
          <w:rFonts w:hint="eastAsia" w:ascii="仿宋" w:hAnsi="仿宋" w:eastAsia="仿宋"/>
          <w:b/>
          <w:sz w:val="28"/>
        </w:rPr>
        <w:t>国内重要财经新闻浏览</w:t>
      </w:r>
    </w:p>
    <w:p>
      <w:pPr>
        <w:widowControl/>
        <w:ind w:firstLine="562" w:firstLineChars="200"/>
        <w:rPr>
          <w:rFonts w:ascii="仿宋" w:hAnsi="仿宋" w:eastAsia="仿宋" w:cs="仿宋"/>
          <w:bCs/>
          <w:sz w:val="28"/>
          <w:szCs w:val="28"/>
        </w:rPr>
      </w:pPr>
      <w:r>
        <w:rPr>
          <w:rFonts w:hint="eastAsia" w:ascii="仿宋" w:hAnsi="仿宋" w:eastAsia="仿宋" w:cs="仿宋"/>
          <w:b/>
          <w:sz w:val="28"/>
          <w:szCs w:val="28"/>
        </w:rPr>
        <w:t>1</w:t>
      </w:r>
      <w:r>
        <w:rPr>
          <w:rFonts w:ascii="仿宋" w:hAnsi="仿宋" w:eastAsia="仿宋" w:cs="仿宋"/>
          <w:b/>
          <w:sz w:val="28"/>
          <w:szCs w:val="28"/>
        </w:rPr>
        <w:t>.</w:t>
      </w:r>
      <w:r>
        <w:rPr>
          <w:rFonts w:hint="eastAsia" w:ascii="仿宋" w:hAnsi="仿宋" w:eastAsia="仿宋" w:cs="仿宋"/>
          <w:b/>
          <w:sz w:val="28"/>
          <w:szCs w:val="28"/>
        </w:rPr>
        <w:t>国资委：</w:t>
      </w:r>
      <w:r>
        <w:rPr>
          <w:rFonts w:hint="eastAsia" w:ascii="仿宋" w:hAnsi="仿宋" w:eastAsia="仿宋" w:cs="仿宋"/>
          <w:b/>
          <w:bCs/>
          <w:sz w:val="28"/>
          <w:szCs w:val="28"/>
        </w:rPr>
        <w:t>加快国有经济布局优化和结构调整，抓好新一轮国企改革深化提升行动的推进落实。</w:t>
      </w:r>
      <w:r>
        <w:rPr>
          <w:rFonts w:hint="eastAsia" w:ascii="仿宋" w:hAnsi="仿宋" w:eastAsia="仿宋" w:cs="仿宋"/>
          <w:bCs/>
          <w:sz w:val="28"/>
          <w:szCs w:val="28"/>
        </w:rPr>
        <w:t>国资委党委召开扩大会议，认真传达学习二十届中央全面深化改革委员会第一次会议精神。会议指出，要强化国有经济功能使命，加快推进高水平科技自立自强，加快国有经济布局优化和结构调整，坚定不移推动中央企业做强做优做大，不断提高核心竞争力、增强核心功能，积极服务国家重大战略，更好发挥科技创新、产业控制、安全支撑作用，更好发挥国资国企在中国式现代化建设中的战略支撑作用。要抓好新一轮国企改革深化提升行动的推进落实，坚持把全面深化改革作为根本动力，把各项工作抓好抓实，确保国企改革深化提升行动落实落地，实现预期目标。</w:t>
      </w:r>
    </w:p>
    <w:p>
      <w:pPr>
        <w:widowControl/>
        <w:ind w:firstLine="562" w:firstLineChars="200"/>
        <w:rPr>
          <w:rFonts w:ascii="仿宋" w:hAnsi="仿宋" w:eastAsia="仿宋" w:cs="仿宋"/>
          <w:bCs/>
          <w:sz w:val="28"/>
          <w:szCs w:val="28"/>
        </w:rPr>
      </w:pPr>
      <w:r>
        <w:rPr>
          <w:rFonts w:hint="eastAsia" w:ascii="仿宋" w:hAnsi="仿宋" w:eastAsia="仿宋" w:cs="仿宋"/>
          <w:b/>
          <w:sz w:val="28"/>
          <w:szCs w:val="28"/>
        </w:rPr>
        <w:t>2</w:t>
      </w:r>
      <w:r>
        <w:rPr>
          <w:rFonts w:ascii="仿宋" w:hAnsi="仿宋" w:eastAsia="仿宋" w:cs="仿宋"/>
          <w:b/>
          <w:sz w:val="28"/>
          <w:szCs w:val="28"/>
        </w:rPr>
        <w:t>.</w:t>
      </w:r>
      <w:r>
        <w:rPr>
          <w:rFonts w:hint="eastAsia" w:ascii="仿宋" w:hAnsi="仿宋" w:eastAsia="仿宋" w:cs="仿宋"/>
          <w:b/>
          <w:sz w:val="28"/>
          <w:szCs w:val="28"/>
        </w:rPr>
        <w:t>财政部：</w:t>
      </w:r>
      <w:r>
        <w:rPr>
          <w:rFonts w:hint="eastAsia" w:ascii="仿宋" w:hAnsi="仿宋" w:eastAsia="仿宋" w:cs="仿宋"/>
          <w:b/>
          <w:bCs/>
          <w:sz w:val="28"/>
          <w:szCs w:val="28"/>
        </w:rPr>
        <w:t>加强政府购买就业公共服务，重点支持高校毕业生等青年就业创业工作。</w:t>
      </w:r>
      <w:r>
        <w:rPr>
          <w:rFonts w:hint="eastAsia" w:ascii="仿宋" w:hAnsi="仿宋" w:eastAsia="仿宋" w:cs="仿宋"/>
          <w:bCs/>
          <w:sz w:val="28"/>
          <w:szCs w:val="28"/>
        </w:rPr>
        <w:t>财政部发布关于做好2023年政府购买服务改革重点工作的通知，其中提出，增强就业服务扶持。加强政府购买就业公共服务，重点支持高校毕业生等青年就业创业工作。提升劳动者职业技能素质，帮助农民工、脱贫人口等重点群体就业，依托用工企业、职业院校、技能学校等，持续开展岗前培训、职业技能提升培训。加强劳动者权益保障，通过政府购买服务提供劳动人事争议调解、集体协商指导等服务，提升劳动人事争议协商调解能力。</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3.</w:t>
      </w:r>
      <w:r>
        <w:rPr>
          <w:rFonts w:hint="eastAsia" w:ascii="仿宋" w:hAnsi="仿宋" w:eastAsia="仿宋" w:cs="仿宋"/>
          <w:b/>
          <w:sz w:val="28"/>
          <w:szCs w:val="28"/>
        </w:rPr>
        <w:t>商务部：</w:t>
      </w:r>
      <w:r>
        <w:rPr>
          <w:rFonts w:hint="eastAsia" w:ascii="仿宋" w:hAnsi="仿宋" w:eastAsia="仿宋" w:cs="仿宋"/>
          <w:b/>
          <w:bCs/>
          <w:sz w:val="28"/>
          <w:szCs w:val="28"/>
        </w:rPr>
        <w:t>将深入研究、积极推进贸易环节、贸易服务、贸易主体的数字化赋能升级。</w:t>
      </w:r>
      <w:r>
        <w:rPr>
          <w:rFonts w:hint="eastAsia" w:ascii="仿宋" w:hAnsi="仿宋" w:eastAsia="仿宋" w:cs="仿宋"/>
          <w:bCs/>
          <w:sz w:val="28"/>
          <w:szCs w:val="28"/>
        </w:rPr>
        <w:t>4月15日，商务部国际贸易谈判代表兼副部长王受文在广州出席首届“贸易数字化创新发展论坛”并致辞。王受文表示，近年来，商务部会同相关部门积极推动单一窗口建设，制定粤港澳大湾区全球贸易数字化领航区建设方案，开展贸易数字化指标体系研究，推动货物贸易数字化发展取得积极成效。王受文指出，商务部坚持“让数据多跑路、让企业少跑腿”，在深入推进贸易管理、贸易方式等数字化的同时，还将深入研究、积极推进贸易环节、贸易服务、贸易主体的数字化赋能升级。</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4.</w:t>
      </w:r>
      <w:r>
        <w:rPr>
          <w:rFonts w:hint="eastAsia" w:ascii="仿宋" w:hAnsi="仿宋" w:eastAsia="仿宋" w:cs="仿宋"/>
          <w:b/>
          <w:sz w:val="28"/>
          <w:szCs w:val="28"/>
        </w:rPr>
        <w:t>央行：</w:t>
      </w:r>
      <w:r>
        <w:rPr>
          <w:rFonts w:hint="eastAsia" w:ascii="仿宋" w:hAnsi="仿宋" w:eastAsia="仿宋" w:cs="仿宋"/>
          <w:b/>
          <w:bCs/>
          <w:sz w:val="28"/>
          <w:szCs w:val="28"/>
        </w:rPr>
        <w:t>把实施扩大内需战略同深化供给侧结构性改革有机结合起来 充分发挥货币信贷政策效能。</w:t>
      </w:r>
      <w:r>
        <w:rPr>
          <w:rFonts w:hint="eastAsia" w:ascii="仿宋" w:hAnsi="仿宋" w:eastAsia="仿宋" w:cs="仿宋"/>
          <w:bCs/>
          <w:sz w:val="28"/>
          <w:szCs w:val="28"/>
        </w:rPr>
        <w:t>中国人民银行货币政策委员会4月7日在北京召开2023年第一季度例会，会议强调，坚持稳中求进工作总基调，牢牢把握高质量发展首要任务，扎实推进中国式现代化，完整、准确、全面贯彻新发展理念，加快构建新发展格局，更好统筹质的有效提升和量的合理增长，推动经济运行持续整体好转。坚持“两个毫不动摇”，打好宏观政策、扩大需求、改革创新和防范化解风险组合拳，把实施扩大内需战略同深化供给侧结构性改革有机结合起来，进一步加强部门间政策协调，充分发挥货币信贷政策效能，兼顾好内部均衡和外部均衡，统筹金融支持实体经济与防风险，为全面建设社会主义现代化国家开好局起好步。</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5.</w:t>
      </w:r>
      <w:r>
        <w:rPr>
          <w:rFonts w:hint="eastAsia" w:ascii="仿宋" w:hAnsi="仿宋" w:eastAsia="仿宋" w:cs="仿宋"/>
          <w:b/>
          <w:sz w:val="28"/>
          <w:szCs w:val="28"/>
        </w:rPr>
        <w:t>证监会：</w:t>
      </w:r>
      <w:r>
        <w:rPr>
          <w:rFonts w:hint="eastAsia" w:ascii="仿宋" w:hAnsi="仿宋" w:eastAsia="仿宋" w:cs="仿宋"/>
          <w:b/>
          <w:bCs/>
          <w:sz w:val="28"/>
          <w:szCs w:val="28"/>
        </w:rPr>
        <w:t>完善独立董事制度供给 加大对独立董事履职等的监督管理。</w:t>
      </w:r>
      <w:r>
        <w:rPr>
          <w:rFonts w:hint="eastAsia" w:ascii="仿宋" w:hAnsi="仿宋" w:eastAsia="仿宋" w:cs="仿宋"/>
          <w:bCs/>
          <w:sz w:val="28"/>
          <w:szCs w:val="28"/>
        </w:rPr>
        <w:t>证监会将坚决贯彻党中央、国务院决策部署，把上市公司独立董事制度改革作为全面深化资本市场改革的重要任务，切实抓好《意见》贯彻落实工作。完善独立董事制度供给，推动出台上市公司监督管理条例，制定发布《上市公司独立董事管理办法》，完善配套制度规则，系统规范独立董事制度各环节具体要求，加大对独立董事履职等的监督管理，促进独立董事切实发挥作用。着力加强与相关部门和有关方面的协作配合，不断优化政策环境和生态体系，增进认知认同、凝聚各方共识，营造良好的改革环境和崇法守信的市场环境，推动资本市场持续健康稳定发展。</w:t>
      </w:r>
    </w:p>
    <w:p>
      <w:pPr>
        <w:widowControl/>
        <w:rPr>
          <w:rFonts w:ascii="仿宋" w:hAnsi="仿宋" w:eastAsia="仿宋" w:cs="仿宋"/>
          <w:b/>
          <w:bCs/>
          <w:sz w:val="28"/>
          <w:szCs w:val="28"/>
        </w:rPr>
      </w:pPr>
      <w:r>
        <w:rPr>
          <w:rFonts w:hint="eastAsia" w:ascii="仿宋" w:hAnsi="仿宋" w:eastAsia="仿宋" w:cs="仿宋"/>
          <w:b/>
          <w:bCs/>
          <w:sz w:val="28"/>
          <w:szCs w:val="28"/>
        </w:rPr>
        <w:t>二、四月券商行业研究情况浏览</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1</w:t>
      </w:r>
      <w:r>
        <w:rPr>
          <w:rFonts w:ascii="仿宋" w:hAnsi="仿宋" w:eastAsia="仿宋" w:cs="仿宋"/>
          <w:b/>
          <w:bCs/>
          <w:color w:val="333333"/>
          <w:sz w:val="28"/>
          <w:szCs w:val="28"/>
          <w:shd w:val="clear" w:color="auto" w:fill="FFFFFF"/>
        </w:rPr>
        <w:t>.</w:t>
      </w:r>
      <w:r>
        <w:rPr>
          <w:rFonts w:hint="eastAsia" w:ascii="仿宋" w:hAnsi="仿宋" w:eastAsia="仿宋" w:cs="仿宋"/>
          <w:b/>
          <w:bCs/>
          <w:color w:val="333333"/>
          <w:kern w:val="0"/>
          <w:sz w:val="28"/>
          <w:szCs w:val="28"/>
          <w:shd w:val="clear" w:color="auto" w:fill="FFFFFF"/>
        </w:rPr>
        <w:t>航空发动机专题报告：走过70年积累开拓之路，迈向加速高质量发展新阶段——国防军工</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燃气涡轮发动机是航空发动机中绝对的主流，主要包括涡轮喷气发动机、涡轮风扇发动机、涡轮螺旋桨发动机和涡轮轴发动机四种。航空发动机起步于活塞式发动机，发展至今的绝对主流是燃气涡轮发动机。以涡轮喷气发动机为基本构型，针对不同的工作场景，发展演化出总体架构有所差别的涡轮风扇发动机、涡轮螺旋桨发动机和涡轮轴发动机。涡轮喷气发动机主要由压气机、燃烧室和涡轮三大部件组成，涡轮风扇发动机、涡轮螺旋桨发动机和涡轮轴发动机则是在三个部件组成的核心机基础上，各自增加风扇/增压级、低压涡轮、动力涡轮等部件。目前多数航空发动机都采用涡轮风扇发动机作为动力源，涡轮轴发动机主要用于直升机发动机。</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航空发动机的研制难度主要体现在设计之难、先进材料之难、制造之难和试验之难，通过长期的实践摸索，核心机的派生发展成为当前各国发动机系列化发展的主要技术途径。核心机包括了推进系统中温度最高、压力最大、转速最高的组件，其研制成本和周期在航空发动机研制中占比较大，是航空发动机研制主要难点和关键技术最集中的部分，目前“部件-核心机-验证机-型号”的航空发动机研制途径是世界各国普遍采取的方法。航空发动机的诞生过程是一个设计、制造、试验、修改、再制造、再试验的反复迭代过程，试验在航空发动机研制过程中起着举足轻重的作用。为了有效应对航空运输需求的快速增长、能源消耗和环境压力以及新军事变革的需求，航空发动机技术不断持续发展，新构型和新概念将不断推出。</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航空发动机产业链主要包括发动机主承包商、子系统供应商、小部件及零组件供应商、原材料供应商四个层次，涵盖研发设计、加工制造和运营维护三大环节。航空发动机主承包商是产业链的链长，核心能力定位于设计、工程和系统集成，负责供应链系统的搭建和维护，居于产业链的核心地位。中国航空发动机集团公司（简称“中国航发”）是我国最主要的发动机主承包商，在2016年成立之初就明确了“小核心、大协作，专业化、开放型”的发展模式，经过数十年的发展我国航空发动机产业已形成涉及政府、军方、中国航发、国有企业、民营企业、高校和科研院所等多方主体融合的军民融合产业体系。</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现代航空发动机结构极为复杂，一般而言，单个民用航空发动机零部件数量接近两万件。按照零部件结构形式的不同，发动机零部件可分为盘类件、轴类件、鼓筒、环形机匣及环形件、箱式机匣和叶片等。高性能航空发动机要求在极有限的自重与工作空间、极恶劣的工作条件下保证长期可靠的工作性能，大量采用了复杂的整体轻量结构，同时大量应用了高性能钛合金、高温合金以及复合材料等难加工材料，对制造技术要求极高。</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航空发动机长时间工作于高温、高压和高转速的恶劣环境下，对于材料的性能提出了极高的要求。通过总结航空发动机过去的发展历史，可以发现一代新材料引领一代新型发动机，在未来航空发动机性能的提高中，新材料贡献率将达到50%以上。提高涡轮前温度可直接提升航空发动机的综合性能，航空发动机材料的耐高温性能显得尤其重要。目前航空发动机的主要材料包括高温合金、钛合金、复合材料等，为了满足四代战斗机及未来的隐身飞机对发动机的隐身性要求，隐身材料也得到了广泛应用。</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航空发动机控制系统是航空发动机的大脑。航空发动机控制系统从液压机械控制、液压机械+电子控制，发展到现代的全权限数字电子控制（FADEC），并向智能/分布式控制方向发展。全权限数字电子控制系统（FADEC）是一种以计算机为核心的控制系统，不仅能够实现从发动机起动、运行、停车的整个运行过程的全部控制功能，保证发动机一直保持在最优条件下运行，而且集成了发动机故障诊断属性，及时发现发动机的“病变”。</w:t>
      </w:r>
    </w:p>
    <w:p>
      <w:pPr>
        <w:pStyle w:val="7"/>
        <w:spacing w:before="156" w:beforeLines="50" w:beforeAutospacing="0" w:after="156" w:afterLines="50" w:afterAutospacing="0" w:line="360" w:lineRule="auto"/>
        <w:ind w:firstLine="210" w:firstLineChars="100"/>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（内容来源：山西证券股份有限公司202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olor w:val="999999"/>
          <w:sz w:val="21"/>
          <w:szCs w:val="21"/>
          <w:shd w:val="clear" w:color="auto" w:fill="FFFFFF"/>
        </w:rPr>
        <w:t>0</w:t>
      </w:r>
      <w:r>
        <w:rPr>
          <w:rFonts w:hint="eastAsia" w:ascii="微软雅黑" w:hAnsi="微软雅黑" w:eastAsia="微软雅黑"/>
          <w:color w:val="999999"/>
          <w:sz w:val="21"/>
          <w:szCs w:val="21"/>
          <w:shd w:val="clear" w:color="auto" w:fill="FFFFFF"/>
        </w:rPr>
        <w:t>4-</w:t>
      </w:r>
      <w:r>
        <w:rPr>
          <w:rFonts w:ascii="微软雅黑" w:hAnsi="微软雅黑" w:eastAsia="微软雅黑"/>
          <w:color w:val="999999"/>
          <w:sz w:val="21"/>
          <w:szCs w:val="21"/>
          <w:shd w:val="clear" w:color="auto" w:fill="FFFFFF"/>
        </w:rPr>
        <w:t>1</w:t>
      </w:r>
      <w:r>
        <w:rPr>
          <w:rFonts w:hint="eastAsia" w:ascii="微软雅黑" w:hAnsi="微软雅黑" w:eastAsia="微软雅黑"/>
          <w:color w:val="999999"/>
          <w:sz w:val="21"/>
          <w:szCs w:val="21"/>
          <w:shd w:val="clear" w:color="auto" w:fill="FFFFFF"/>
        </w:rPr>
        <w:t>2</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2.</w:t>
      </w:r>
      <w:r>
        <w:rPr>
          <w:rFonts w:hint="eastAsia" w:ascii="仿宋" w:hAnsi="仿宋" w:eastAsia="仿宋" w:cs="仿宋"/>
          <w:b/>
          <w:bCs/>
          <w:color w:val="333333"/>
          <w:kern w:val="0"/>
          <w:sz w:val="28"/>
          <w:szCs w:val="28"/>
          <w:shd w:val="clear" w:color="auto" w:fill="FFFFFF"/>
        </w:rPr>
        <w:t>肾神经阻断疗法有望开启高血压治疗新纪元，建议关注相关布局的优质企业——医药生物</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高血压是常见慢性病，肾神经阻断疗法（RDN）有望开启治疗新纪元。</w:t>
      </w:r>
      <w:r>
        <w:rPr>
          <w:rFonts w:hint="eastAsia" w:ascii="仿宋" w:hAnsi="仿宋" w:eastAsia="仿宋" w:cs="仿宋"/>
          <w:color w:val="333333"/>
          <w:kern w:val="0"/>
          <w:sz w:val="28"/>
          <w:szCs w:val="28"/>
          <w:shd w:val="clear" w:color="auto" w:fill="FFFFFF"/>
        </w:rPr>
        <w:t>高血压是我国常见慢性病、患者基数庞大，另外高血压水平与心血管风险呈正相关关系、是脑卒中、冠心病、心力衰竭等疾病的重要风险因素，有效防治刻不容缓。根据弗若斯特沙利文资料，2019年全球用于治疗高血压的医疗开支约为4000亿美金，造成了严重的疾病负担。目前高血压治疗主要有生活方式干预、药物治疗和非药物治疗三种方式，药物治疗仍是目前最主要的治疗手段，但由于药物依从性等问题、患者血压水平仍未得到较好的控制，并且一些难治性高血压患者服用多种药物后，血压仍然难以达标。在此背景下，非药物的介入器械性治疗如肾神经阻断疗法（RDN）为治疗高血压提供了新的思路和希望。相比于药物治疗，RDN具有低侵入性、手术副作用少、长期有效、全天降压等优点，随着技术逐步成熟、提供高血压补充治疗方案，潜在需求旺盛。根据弗若斯特沙利文预测，2030年中国肾神经阻断产品市场规模将达到人民币105亿元，发展前景广阔。</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RDN疗法临床研究一波三折，峰回路转有望迎来发展拐点。</w:t>
      </w:r>
      <w:r>
        <w:rPr>
          <w:rFonts w:hint="eastAsia" w:ascii="仿宋" w:hAnsi="仿宋" w:eastAsia="仿宋" w:cs="仿宋"/>
          <w:color w:val="333333"/>
          <w:kern w:val="0"/>
          <w:sz w:val="28"/>
          <w:szCs w:val="28"/>
          <w:shd w:val="clear" w:color="auto" w:fill="FFFFFF"/>
        </w:rPr>
        <w:t>美敦力公司率先开展RDN研究，在2008年及2009年美敦力的SymplicityTMHTN-1和HTN-2两项单臂临床研究初步证实肾神经阻断是一种安全有效的治疗方法，但到2014年美敦力的HTN-3研究结果却未能显示研究组与对照组之间的血压下降存在明显差异，严重打击了市场对RDN的信心。直至2020年，经过对研究方案的反复改进，美敦力的SPYRALHTNOFF-MED研究给出了良好的数据结果，证实在不依赖降压药物的情况下，单纯应用多电极肾动脉射频消融能够显著降低患者血压。这一试验成功对行业有着里程碑式的意义，RDN行业也迎来了峰回路转、全面开花的时期。美敦力、ReCorMedical等公司纷纷推出了RDN临床产品。其中，美敦力已于2022年11月向FDA正式提交注册审批标准，一旦获批将有望在全球范围内快速推广，RDN行业或将迎来发展拐点。</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RDN疗法技术壁垒高，率先获批先进产品的企业或将占据市场较大份额。</w:t>
      </w:r>
      <w:r>
        <w:rPr>
          <w:rFonts w:hint="eastAsia" w:ascii="仿宋" w:hAnsi="仿宋" w:eastAsia="仿宋" w:cs="仿宋"/>
          <w:color w:val="333333"/>
          <w:kern w:val="0"/>
          <w:sz w:val="28"/>
          <w:szCs w:val="28"/>
          <w:shd w:val="clear" w:color="auto" w:fill="FFFFFF"/>
        </w:rPr>
        <w:t>目前全球肾神经阻断市场尚未迎来首个产品上市，国内外众多公司正在大力进行产品研发，国外以美敦力、ReCor、强生、波士顿科学、Covidien等为主；国内以魅丽纬叶、百心安、信迈医疗（SyMap）、微创电生理、康沣生物、Renaly（启明医疗控股子公司）等为主。从国内市场来看，信迈医疗、百心安、魅丽纬业等临床进度靠前，且国内企业均在对RDN疗法进行创新与改进的基础上进行研发。未来，预计美敦力的RDN产品在拿到FDA认证后有望进入中国市场，引领行业发展。总体上，RDN行业发展前景广阔，但快速发展过程中需要克服诸多难点，如RDN疗法的能量源设备生产技术壁垒高、临床设计能力要求极高、消融位点的选择仍需要更多的临床数据验证、如何建立更好的反馈机制确认消融成功与否、临床教育与医生学习曲线和接受程度等。</w:t>
      </w:r>
    </w:p>
    <w:p>
      <w:pPr>
        <w:pStyle w:val="7"/>
        <w:spacing w:before="156" w:beforeLines="50" w:beforeAutospacing="0" w:after="156" w:afterLines="50" w:afterAutospacing="0" w:line="360" w:lineRule="auto"/>
        <w:ind w:firstLine="561"/>
        <w:jc w:val="right"/>
        <w:rPr>
          <w:rFonts w:ascii="仿宋" w:hAnsi="仿宋" w:eastAsia="仿宋" w:cs="仿宋"/>
          <w:b/>
          <w:sz w:val="28"/>
          <w:szCs w:val="28"/>
        </w:rPr>
      </w:pPr>
      <w:r>
        <w:rPr>
          <w:rFonts w:hint="eastAsia" w:ascii="微软雅黑" w:hAnsi="微软雅黑" w:eastAsia="微软雅黑" w:cs="Calibri"/>
          <w:color w:val="A6A6A6" w:themeColor="background1" w:themeShade="A6"/>
          <w:sz w:val="21"/>
          <w:szCs w:val="21"/>
        </w:rPr>
        <w:t xml:space="preserve"> （内容来源：东方证券股份有限公司202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w:t>
      </w:r>
      <w:r>
        <w:rPr>
          <w:rFonts w:hint="eastAsia" w:ascii="微软雅黑" w:hAnsi="微软雅黑" w:eastAsia="微软雅黑" w:cs="Calibri"/>
          <w:color w:val="A6A6A6" w:themeColor="background1" w:themeShade="A6"/>
          <w:sz w:val="21"/>
          <w:szCs w:val="21"/>
        </w:rPr>
        <w:t>4-20）</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3.短期调整后，白酒迎最佳布局时机——白酒</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各项指标向好叠加政策加持，白酒行业具备长期成长基础。2023年1-2月社会消费品零售总额为77067亿元，同比增长3.5%；2023年1月-2月国内航线旅客运输量分别为3933.20/4249.50万人，同比分别增长34.80%/38.00%；2023年2月，物流业景气指数为50.1%，较2023年1月份回升3.4个百分点；从各项统计数据来看，经济复苏趋势已确立。消费场景依赖度更高的行业品类表现更为优异，白酒在这一阶段的复苏仍然受到场景驱动的特征影响。同时，政策肯定白酒行业特色效应，积极打造多元化白酒产业集群，行业长远发展可期。当前城镇居民人均可支配收入与飞天茅台箱批价的比值正呈回升趋势，伴随居民收入提升及信用回暖，白酒行业消费升级逻辑将重新演绎。</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白酒基本面情况：符合预期。从两阶段复盘白酒一季度表现，一方面，2023年春节旺季延长，白酒行业呈现淡季不淡情形。另一方面，当前3月行业进入传统淡季，酒企控量挺价做市场。一季度酒企信心十足，反馈积极。以今世缘为代表的酒企积极树立业绩目标和战略方向：冲刺百亿目标，开启全国化新征程。以口子窖为代表的酒企持续推出股权激励：股权激励顺利落地，推动公司改革活力持续提升。</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白酒指数及企业涨跌幅已现回调，是配置的恰当时机。涨跌幅角度来看，申万白酒板块2023年1月以来年内高点至2023年4月6日已回调7.2%，酒企也普遍回调10%以上，当前具备配置性价比。今年年初白酒指数（YTD5.3%）暂未跑赢上证综指（YTD7.2%），但历史超额收益明显。从估值角度来说，当前白酒板块位于2017年以来的32%分位，整体估值吸引力处于提升状态。</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行业展望：景气周期上行，关注二季度。短期来看，白酒行业及酒企一季度面临短期压力。但从目前实际情况来看，白酒行业一季度表现增强了企业对于高业绩的信心和动力。长期来看，白酒行业有望重启景气周期，具备量价齐增的基础。从历史数据来看，二季度是白酒行业胜率最高的季度，根据我们的测算，4月-6月的绝对收益率正收益概率分别为82.4%/76.5%/70.6%，4月-6月的超额收益率正收益概率分别为76.5%/64.7%/94.1%。业绩具有确定性为原因之一；春季糖酒会为催化剂之二；酒企控量挺价稳定市场为原因之三。</w:t>
      </w:r>
    </w:p>
    <w:p>
      <w:pPr>
        <w:spacing w:before="156" w:beforeLines="50" w:after="156" w:afterLines="50"/>
        <w:jc w:val="right"/>
        <w:rPr>
          <w:rFonts w:ascii="仿宋" w:hAnsi="仿宋" w:eastAsia="仿宋"/>
          <w:b/>
          <w:sz w:val="28"/>
        </w:rPr>
      </w:pPr>
      <w:r>
        <w:rPr>
          <w:rFonts w:hint="eastAsia" w:ascii="仿宋" w:hAnsi="仿宋" w:eastAsia="仿宋" w:cs="仿宋"/>
          <w:color w:val="333333"/>
          <w:sz w:val="28"/>
          <w:szCs w:val="28"/>
          <w:shd w:val="clear" w:color="auto" w:fill="FFFFFF"/>
        </w:rPr>
        <w:t xml:space="preserve">                  </w:t>
      </w:r>
      <w:r>
        <w:rPr>
          <w:rFonts w:hint="eastAsia" w:ascii="微软雅黑" w:hAnsi="微软雅黑" w:eastAsia="微软雅黑" w:cs="Calibri"/>
          <w:color w:val="A6A6A6" w:themeColor="background1" w:themeShade="A6"/>
          <w:szCs w:val="21"/>
        </w:rPr>
        <w:t>（内容来源：东亚前海证券有限责任公司202</w:t>
      </w:r>
      <w:r>
        <w:rPr>
          <w:rFonts w:ascii="微软雅黑" w:hAnsi="微软雅黑" w:eastAsia="微软雅黑" w:cs="Calibri"/>
          <w:color w:val="A6A6A6" w:themeColor="background1" w:themeShade="A6"/>
          <w:szCs w:val="21"/>
        </w:rPr>
        <w:t>3</w:t>
      </w:r>
      <w:r>
        <w:rPr>
          <w:rFonts w:hint="eastAsia" w:ascii="微软雅黑" w:hAnsi="微软雅黑" w:eastAsia="微软雅黑" w:cs="Calibri"/>
          <w:color w:val="A6A6A6" w:themeColor="background1" w:themeShade="A6"/>
          <w:szCs w:val="21"/>
        </w:rPr>
        <w:t>-</w:t>
      </w:r>
      <w:r>
        <w:rPr>
          <w:rFonts w:ascii="微软雅黑" w:hAnsi="微软雅黑" w:eastAsia="微软雅黑" w:cs="Calibri"/>
          <w:color w:val="A6A6A6" w:themeColor="background1" w:themeShade="A6"/>
          <w:szCs w:val="21"/>
        </w:rPr>
        <w:t>0</w:t>
      </w:r>
      <w:r>
        <w:rPr>
          <w:rFonts w:hint="eastAsia" w:ascii="微软雅黑" w:hAnsi="微软雅黑" w:eastAsia="微软雅黑" w:cs="Calibri"/>
          <w:color w:val="A6A6A6" w:themeColor="background1" w:themeShade="A6"/>
          <w:szCs w:val="21"/>
        </w:rPr>
        <w:t>4-12）</w:t>
      </w:r>
    </w:p>
    <w:p>
      <w:pPr>
        <w:spacing w:before="156" w:beforeLines="50" w:after="156" w:afterLines="50"/>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截至2023年4月30日,河南辖区共有</w:t>
      </w:r>
      <w:r>
        <w:rPr>
          <w:rFonts w:ascii="仿宋" w:hAnsi="仿宋" w:eastAsia="仿宋"/>
          <w:sz w:val="28"/>
        </w:rPr>
        <w:t>A股上市公司109</w:t>
      </w:r>
      <w:r>
        <w:rPr>
          <w:rFonts w:hint="eastAsia" w:ascii="仿宋" w:hAnsi="仿宋" w:eastAsia="仿宋"/>
          <w:sz w:val="28"/>
        </w:rPr>
        <w:t>家。位居全国第1</w:t>
      </w:r>
      <w:r>
        <w:rPr>
          <w:rFonts w:ascii="仿宋" w:hAnsi="仿宋" w:eastAsia="仿宋"/>
          <w:sz w:val="28"/>
        </w:rPr>
        <w:t>3</w:t>
      </w:r>
      <w:r>
        <w:rPr>
          <w:rFonts w:hint="eastAsia" w:ascii="仿宋" w:hAnsi="仿宋" w:eastAsia="仿宋"/>
          <w:sz w:val="28"/>
        </w:rPr>
        <w:t>位（按照协会口径统计）。其中上交所主板30家，科创板5家，深交所主板36家、创业板27家，北证1</w:t>
      </w:r>
      <w:r>
        <w:rPr>
          <w:rFonts w:ascii="仿宋" w:hAnsi="仿宋" w:eastAsia="仿宋"/>
          <w:sz w:val="28"/>
        </w:rPr>
        <w:t>1</w:t>
      </w:r>
      <w:r>
        <w:rPr>
          <w:rFonts w:hint="eastAsia" w:ascii="仿宋" w:hAnsi="仿宋" w:eastAsia="仿宋"/>
          <w:sz w:val="28"/>
        </w:rPr>
        <w:t>家。</w:t>
      </w:r>
    </w:p>
    <w:p>
      <w:pPr>
        <w:spacing w:line="360" w:lineRule="auto"/>
        <w:ind w:firstLine="560" w:firstLineChars="200"/>
        <w:rPr>
          <w:rFonts w:ascii="仿宋" w:hAnsi="仿宋" w:eastAsia="仿宋"/>
          <w:sz w:val="28"/>
        </w:rPr>
      </w:pPr>
      <w:r>
        <w:rPr>
          <w:rFonts w:hint="eastAsia" w:ascii="仿宋" w:hAnsi="仿宋" w:eastAsia="仿宋"/>
          <w:sz w:val="28"/>
        </w:rPr>
        <w:t>截至2023年4月30日,河南辖区A股上市公司的总市值为14,467.72亿元，占</w:t>
      </w:r>
      <w:r>
        <w:rPr>
          <w:rFonts w:ascii="仿宋" w:hAnsi="仿宋" w:eastAsia="仿宋"/>
          <w:sz w:val="28"/>
        </w:rPr>
        <w:t>A股上市公司总市值的1.51%</w:t>
      </w:r>
      <w:r>
        <w:rPr>
          <w:rFonts w:hint="eastAsia" w:ascii="仿宋" w:hAnsi="仿宋" w:eastAsia="仿宋"/>
          <w:sz w:val="28"/>
        </w:rPr>
        <w:t>。2023年河南辖区上市公司再融资（含增发、可转债）募集资金总额为</w:t>
      </w:r>
      <w:r>
        <w:rPr>
          <w:rFonts w:ascii="仿宋" w:hAnsi="仿宋" w:eastAsia="仿宋"/>
          <w:sz w:val="28"/>
        </w:rPr>
        <w:t>81.88</w:t>
      </w:r>
      <w:r>
        <w:rPr>
          <w:rFonts w:hint="eastAsia" w:ascii="仿宋" w:hAnsi="仿宋" w:eastAsia="仿宋"/>
          <w:sz w:val="28"/>
        </w:rPr>
        <w:t>亿元。</w:t>
      </w:r>
    </w:p>
    <w:p>
      <w:pPr>
        <w:spacing w:before="156" w:beforeLines="50" w:after="156" w:afterLines="50" w:line="360" w:lineRule="auto"/>
        <w:jc w:val="center"/>
        <w:rPr>
          <w:rFonts w:ascii="仿宋" w:hAnsi="仿宋" w:eastAsia="仿宋"/>
          <w:b/>
          <w:sz w:val="24"/>
        </w:rPr>
      </w:pPr>
      <w:r>
        <w:rPr>
          <w:rFonts w:ascii="仿宋" w:hAnsi="仿宋" w:eastAsia="仿宋"/>
          <w:b/>
          <w:sz w:val="24"/>
        </w:rPr>
        <w:br w:type="page"/>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832350" cy="2247900"/>
            <wp:effectExtent l="0" t="0" r="63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870450" cy="2298700"/>
            <wp:effectExtent l="0" t="0" r="6350"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889500" cy="2406650"/>
            <wp:effectExtent l="0" t="0" r="6350" b="1270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rPr>
          <w:rFonts w:ascii="仿宋" w:hAnsi="仿宋" w:eastAsia="仿宋"/>
          <w:b/>
          <w:sz w:val="28"/>
        </w:rPr>
      </w:pPr>
      <w:r>
        <w:rPr>
          <w:rFonts w:hint="eastAsia" w:ascii="仿宋" w:hAnsi="仿宋" w:eastAsia="仿宋"/>
          <w:b/>
          <w:sz w:val="28"/>
        </w:rPr>
        <w:t>四、河南辖区上市公司4月市场表现分析</w:t>
      </w:r>
    </w:p>
    <w:p>
      <w:pPr>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s="仿宋"/>
          <w:sz w:val="28"/>
          <w:szCs w:val="28"/>
        </w:rPr>
        <w:t>进入四月大盘高开高走，成交额大幅放量，沪指涨0.72%，深成指涨1.39%，创业板指涨1.7%；7日，市场普涨反弹，人工智能板块再度拉涨，科创50指数涨1.23%，录得日线七连阳；次周1</w:t>
      </w:r>
      <w:r>
        <w:rPr>
          <w:rFonts w:ascii="仿宋" w:hAnsi="仿宋" w:eastAsia="仿宋" w:cs="仿宋"/>
          <w:sz w:val="28"/>
          <w:szCs w:val="28"/>
        </w:rPr>
        <w:t>1</w:t>
      </w:r>
      <w:r>
        <w:rPr>
          <w:rFonts w:hint="eastAsia" w:ascii="仿宋" w:hAnsi="仿宋" w:eastAsia="仿宋" w:cs="仿宋"/>
          <w:sz w:val="28"/>
          <w:szCs w:val="28"/>
        </w:rPr>
        <w:t>日，大盘震荡调整，传媒娱乐掀起涨停潮，个股跌多涨少。随后几日沪指延续反弹向上趋势，于1</w:t>
      </w:r>
      <w:r>
        <w:rPr>
          <w:rFonts w:ascii="仿宋" w:hAnsi="仿宋" w:eastAsia="仿宋" w:cs="仿宋"/>
          <w:sz w:val="28"/>
          <w:szCs w:val="28"/>
        </w:rPr>
        <w:t>7</w:t>
      </w:r>
      <w:r>
        <w:rPr>
          <w:rFonts w:hint="eastAsia" w:ascii="仿宋" w:hAnsi="仿宋" w:eastAsia="仿宋" w:cs="仿宋"/>
          <w:sz w:val="28"/>
          <w:szCs w:val="28"/>
        </w:rPr>
        <w:t>日涨超1%创年内新高。2</w:t>
      </w:r>
      <w:r>
        <w:rPr>
          <w:rFonts w:ascii="仿宋" w:hAnsi="仿宋" w:eastAsia="仿宋" w:cs="仿宋"/>
          <w:sz w:val="28"/>
          <w:szCs w:val="28"/>
        </w:rPr>
        <w:t>0</w:t>
      </w:r>
      <w:r>
        <w:rPr>
          <w:rFonts w:hint="eastAsia" w:ascii="仿宋" w:hAnsi="仿宋" w:eastAsia="仿宋" w:cs="仿宋"/>
          <w:sz w:val="28"/>
          <w:szCs w:val="28"/>
        </w:rPr>
        <w:t>日，市场进入震荡调整，个股跌多涨少，主题方面人工智能产业链全线爆发，沪指跌0.09%，深成指跌0.37%，创业板指跌1.2%；2</w:t>
      </w:r>
      <w:r>
        <w:rPr>
          <w:rFonts w:ascii="仿宋" w:hAnsi="仿宋" w:eastAsia="仿宋" w:cs="仿宋"/>
          <w:sz w:val="28"/>
          <w:szCs w:val="28"/>
        </w:rPr>
        <w:t>5</w:t>
      </w:r>
      <w:r>
        <w:rPr>
          <w:rFonts w:hint="eastAsia" w:ascii="仿宋" w:hAnsi="仿宋" w:eastAsia="仿宋" w:cs="仿宋"/>
          <w:sz w:val="28"/>
          <w:szCs w:val="28"/>
        </w:rPr>
        <w:t>日，市场情绪仍处冰点，两市超4</w:t>
      </w:r>
      <w:r>
        <w:rPr>
          <w:rFonts w:ascii="仿宋" w:hAnsi="仿宋" w:eastAsia="仿宋" w:cs="仿宋"/>
          <w:sz w:val="28"/>
          <w:szCs w:val="28"/>
        </w:rPr>
        <w:t>,</w:t>
      </w:r>
      <w:r>
        <w:rPr>
          <w:rFonts w:hint="eastAsia" w:ascii="仿宋" w:hAnsi="仿宋" w:eastAsia="仿宋" w:cs="仿宋"/>
          <w:sz w:val="28"/>
          <w:szCs w:val="28"/>
        </w:rPr>
        <w:t>000只个股下跌，百余家个股跌停或跌超10%，沪指收5连阴。</w:t>
      </w:r>
      <w:r>
        <w:rPr>
          <w:rFonts w:ascii="仿宋" w:hAnsi="仿宋" w:eastAsia="仿宋"/>
          <w:color w:val="000000" w:themeColor="text1"/>
          <w:sz w:val="28"/>
          <w14:textFill>
            <w14:solidFill>
              <w14:schemeClr w14:val="tx1"/>
            </w14:solidFill>
          </w14:textFill>
        </w:rPr>
        <w:t>及至月末，上证综指上涨1.54%</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3,323.27</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下跌3.31%</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11,338.67</w:t>
      </w:r>
      <w:r>
        <w:rPr>
          <w:rFonts w:hint="eastAsia" w:ascii="仿宋" w:hAnsi="仿宋" w:eastAsia="仿宋"/>
          <w:color w:val="000000" w:themeColor="text1"/>
          <w:sz w:val="28"/>
          <w14:textFill>
            <w14:solidFill>
              <w14:schemeClr w14:val="tx1"/>
            </w14:solidFill>
          </w14:textFill>
        </w:rPr>
        <w:t>点；创业板指下跌3.12%，报收</w:t>
      </w:r>
      <w:r>
        <w:rPr>
          <w:rFonts w:ascii="仿宋" w:hAnsi="仿宋" w:eastAsia="仿宋"/>
          <w:color w:val="000000" w:themeColor="text1"/>
          <w:sz w:val="28"/>
          <w14:textFill>
            <w14:solidFill>
              <w14:schemeClr w14:val="tx1"/>
            </w14:solidFill>
          </w14:textFill>
        </w:rPr>
        <w:t>2,324.72</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2023年4月，河南</w:t>
      </w:r>
      <w:r>
        <w:rPr>
          <w:rFonts w:ascii="仿宋" w:hAnsi="仿宋" w:eastAsia="仿宋"/>
          <w:sz w:val="28"/>
        </w:rPr>
        <w:t>辖区</w:t>
      </w:r>
      <w:r>
        <w:rPr>
          <w:rFonts w:hint="eastAsia" w:ascii="仿宋" w:hAnsi="仿宋" w:eastAsia="仿宋"/>
          <w:sz w:val="28"/>
        </w:rPr>
        <w:t>涨幅排名前10位的股票中，工业占据3席，日常消费和医疗保健各占据2席，材料、信息技术和可选消费各占据1席，涨幅最大的是拓新药业，</w:t>
      </w:r>
      <w:r>
        <w:rPr>
          <w:rFonts w:ascii="仿宋" w:hAnsi="仿宋" w:eastAsia="仿宋"/>
          <w:sz w:val="28"/>
        </w:rPr>
        <w:t>上涨</w:t>
      </w:r>
      <w:r>
        <w:rPr>
          <w:rFonts w:hint="eastAsia" w:ascii="仿宋" w:hAnsi="仿宋" w:eastAsia="仿宋"/>
          <w:sz w:val="28"/>
        </w:rPr>
        <w:t>57.74%；其次是中原传媒，</w:t>
      </w:r>
      <w:r>
        <w:rPr>
          <w:rFonts w:ascii="仿宋" w:hAnsi="仿宋" w:eastAsia="仿宋"/>
          <w:sz w:val="28"/>
        </w:rPr>
        <w:t>上涨</w:t>
      </w:r>
      <w:r>
        <w:rPr>
          <w:rFonts w:hint="eastAsia" w:ascii="仿宋" w:hAnsi="仿宋" w:eastAsia="仿宋"/>
          <w:sz w:val="28"/>
        </w:rPr>
        <w:t>34.33%。</w:t>
      </w: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（2023-04-30）</w:t>
            </w:r>
          </w:p>
        </w:tc>
        <w:tc>
          <w:tcPr>
            <w:tcW w:w="1338"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301089.SZ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拓新药业</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57.74</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86.30</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19.86</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000719.SZ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中原传媒</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34.33</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13.93</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73.47</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600312.SH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平高电气</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19.46</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11.48</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45.13</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688357.SH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建龙微纳</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17.12</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110.16</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-0.67</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002582.SZ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好想你</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16.94</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8.49</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-10.73</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603508.SH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思维列控</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15.04</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18.89</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15.68</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832225.BJ</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利通科技</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13.03</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8.24</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39.90</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831087.BJ</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秋乐种业</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11.56</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6.66</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18.72</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688626.SH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翔宇医疗</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11.43</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45.51</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42.75</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002857.SZ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三晖电气</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10.93</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17.86</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25.60</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bl>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材料占据4席，信息技术占据3席，可选消费、医疗保健和工业各占据1席，跌幅最大的为花溪科技，下跌45.59</w:t>
      </w:r>
      <w:r>
        <w:rPr>
          <w:rFonts w:ascii="仿宋" w:hAnsi="仿宋" w:eastAsia="仿宋"/>
          <w:sz w:val="28"/>
        </w:rPr>
        <w:t>%</w:t>
      </w:r>
      <w:r>
        <w:rPr>
          <w:rFonts w:hint="eastAsia" w:ascii="仿宋" w:hAnsi="仿宋" w:eastAsia="仿宋"/>
          <w:sz w:val="28"/>
        </w:rPr>
        <w:t>;其次为*ST辅仁，下跌26.96</w:t>
      </w:r>
      <w:r>
        <w:rPr>
          <w:rFonts w:ascii="仿宋" w:hAnsi="仿宋" w:eastAsia="仿宋"/>
          <w:sz w:val="28"/>
        </w:rPr>
        <w:t>%。</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8396" w:type="dxa"/>
        <w:jc w:val="center"/>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（2023-04-30）</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872895.BJ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花溪科技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-45.59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5.86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-45.59</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600781.SH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*ST辅仁</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-26.96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0.84</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-61.64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002087.SZ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新野纺织</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-23.26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2.31</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-26.67</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301152.SZ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天力锂能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-20.78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36.63</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-24.00</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300007.SZ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汉威科技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-20.73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14.84</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-12.19</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300248.SZ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新开普</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-19.56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9.79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11.25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300481.SZ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濮阳惠成</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-18.91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21.36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-20.09</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835207.BJ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众诚科技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-18.48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5.78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300437.SZ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清水源</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-15.32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13.98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-18.72</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002601.SZ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龙佰集团</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-14.43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17.32</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-8.46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bl>
    <w:p>
      <w:pPr>
        <w:spacing w:before="156" w:beforeLines="50" w:after="156" w:afterLines="50"/>
        <w:rPr>
          <w:rFonts w:ascii="仿宋" w:hAnsi="仿宋" w:eastAsia="仿宋"/>
          <w:b/>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4月重大事项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jc w:val="center"/>
        <w:rPr>
          <w:rFonts w:ascii="仿宋" w:hAnsi="仿宋" w:eastAsia="仿宋"/>
          <w:b/>
          <w:sz w:val="24"/>
        </w:rPr>
      </w:pPr>
      <w:r>
        <w:rPr>
          <w:rFonts w:hint="eastAsia" w:ascii="仿宋" w:hAnsi="仿宋" w:eastAsia="仿宋"/>
          <w:b/>
          <w:sz w:val="24"/>
        </w:rPr>
        <w:t>表3  IPO相关情况</w:t>
      </w:r>
    </w:p>
    <w:tbl>
      <w:tblPr>
        <w:tblStyle w:val="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992"/>
        <w:gridCol w:w="3260"/>
        <w:gridCol w:w="127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b/>
                <w:szCs w:val="21"/>
              </w:rPr>
            </w:pPr>
            <w:r>
              <w:rPr>
                <w:rFonts w:hint="eastAsia" w:ascii="仿宋" w:hAnsi="仿宋" w:eastAsia="仿宋"/>
                <w:b/>
                <w:szCs w:val="21"/>
              </w:rPr>
              <w:t>序号</w:t>
            </w:r>
          </w:p>
        </w:tc>
        <w:tc>
          <w:tcPr>
            <w:tcW w:w="851" w:type="dxa"/>
            <w:vAlign w:val="center"/>
          </w:tcPr>
          <w:p>
            <w:pPr>
              <w:jc w:val="center"/>
              <w:rPr>
                <w:rFonts w:ascii="仿宋" w:hAnsi="仿宋" w:eastAsia="仿宋"/>
                <w:b/>
                <w:szCs w:val="21"/>
              </w:rPr>
            </w:pPr>
            <w:r>
              <w:rPr>
                <w:rFonts w:hint="eastAsia" w:ascii="仿宋" w:hAnsi="仿宋" w:eastAsia="仿宋"/>
                <w:b/>
                <w:szCs w:val="21"/>
              </w:rPr>
              <w:t>交易所</w:t>
            </w:r>
          </w:p>
        </w:tc>
        <w:tc>
          <w:tcPr>
            <w:tcW w:w="992" w:type="dxa"/>
            <w:vAlign w:val="center"/>
          </w:tcPr>
          <w:p>
            <w:pPr>
              <w:jc w:val="center"/>
              <w:rPr>
                <w:rFonts w:ascii="仿宋" w:hAnsi="仿宋" w:eastAsia="仿宋"/>
                <w:b/>
                <w:szCs w:val="21"/>
              </w:rPr>
            </w:pPr>
            <w:r>
              <w:rPr>
                <w:rFonts w:hint="eastAsia" w:ascii="仿宋" w:hAnsi="仿宋" w:eastAsia="仿宋"/>
                <w:b/>
                <w:szCs w:val="21"/>
              </w:rPr>
              <w:t>板块</w:t>
            </w:r>
          </w:p>
        </w:tc>
        <w:tc>
          <w:tcPr>
            <w:tcW w:w="3260" w:type="dxa"/>
            <w:vAlign w:val="center"/>
          </w:tcPr>
          <w:p>
            <w:pPr>
              <w:jc w:val="center"/>
              <w:rPr>
                <w:rFonts w:ascii="仿宋" w:hAnsi="仿宋" w:eastAsia="仿宋"/>
                <w:b/>
                <w:szCs w:val="21"/>
              </w:rPr>
            </w:pPr>
            <w:r>
              <w:rPr>
                <w:rFonts w:hint="eastAsia" w:ascii="仿宋" w:hAnsi="仿宋" w:eastAsia="仿宋"/>
                <w:b/>
                <w:szCs w:val="21"/>
              </w:rPr>
              <w:t>公司名称</w:t>
            </w:r>
          </w:p>
        </w:tc>
        <w:tc>
          <w:tcPr>
            <w:tcW w:w="1276" w:type="dxa"/>
            <w:vAlign w:val="center"/>
          </w:tcPr>
          <w:p>
            <w:pPr>
              <w:jc w:val="center"/>
              <w:rPr>
                <w:rFonts w:ascii="仿宋" w:hAnsi="仿宋" w:eastAsia="仿宋"/>
                <w:b/>
                <w:szCs w:val="21"/>
              </w:rPr>
            </w:pPr>
            <w:r>
              <w:rPr>
                <w:rFonts w:ascii="仿宋" w:hAnsi="仿宋" w:eastAsia="仿宋"/>
                <w:b/>
                <w:szCs w:val="21"/>
              </w:rPr>
              <w:t>状态</w:t>
            </w:r>
          </w:p>
        </w:tc>
        <w:tc>
          <w:tcPr>
            <w:tcW w:w="1446" w:type="dxa"/>
            <w:vAlign w:val="center"/>
          </w:tcPr>
          <w:p>
            <w:pPr>
              <w:jc w:val="center"/>
              <w:rPr>
                <w:rFonts w:ascii="仿宋" w:hAnsi="仿宋" w:eastAsia="仿宋"/>
                <w:b/>
                <w:szCs w:val="21"/>
              </w:rPr>
            </w:pPr>
            <w:r>
              <w:rPr>
                <w:rFonts w:hint="eastAsia" w:ascii="仿宋" w:hAnsi="仿宋" w:eastAsia="仿宋"/>
                <w:b/>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b/>
                <w:szCs w:val="21"/>
              </w:rPr>
            </w:pPr>
            <w:r>
              <w:rPr>
                <w:rFonts w:hint="eastAsia" w:ascii="仿宋" w:hAnsi="仿宋" w:eastAsia="仿宋"/>
                <w:szCs w:val="21"/>
              </w:rPr>
              <w:t>1</w:t>
            </w:r>
          </w:p>
        </w:tc>
        <w:tc>
          <w:tcPr>
            <w:tcW w:w="851" w:type="dxa"/>
            <w:vAlign w:val="center"/>
          </w:tcPr>
          <w:p>
            <w:pPr>
              <w:jc w:val="center"/>
              <w:rPr>
                <w:rFonts w:ascii="仿宋" w:hAnsi="仿宋" w:eastAsia="仿宋"/>
                <w:szCs w:val="21"/>
              </w:rPr>
            </w:pPr>
            <w:r>
              <w:rPr>
                <w:rFonts w:hint="eastAsia" w:ascii="仿宋" w:hAnsi="仿宋" w:eastAsia="仿宋"/>
                <w:szCs w:val="21"/>
              </w:rPr>
              <w:t>北交所</w:t>
            </w:r>
          </w:p>
        </w:tc>
        <w:tc>
          <w:tcPr>
            <w:tcW w:w="992" w:type="dxa"/>
            <w:vAlign w:val="center"/>
          </w:tcPr>
          <w:p>
            <w:pPr>
              <w:jc w:val="center"/>
              <w:rPr>
                <w:rFonts w:ascii="仿宋" w:hAnsi="仿宋" w:eastAsia="仿宋"/>
                <w:szCs w:val="21"/>
              </w:rPr>
            </w:pPr>
            <w:r>
              <w:rPr>
                <w:rFonts w:hint="eastAsia" w:ascii="仿宋" w:hAnsi="仿宋" w:eastAsia="仿宋"/>
                <w:szCs w:val="21"/>
              </w:rPr>
              <w:t>北证</w:t>
            </w:r>
          </w:p>
        </w:tc>
        <w:tc>
          <w:tcPr>
            <w:tcW w:w="3260" w:type="dxa"/>
            <w:vAlign w:val="center"/>
          </w:tcPr>
          <w:p>
            <w:pPr>
              <w:jc w:val="center"/>
              <w:rPr>
                <w:rFonts w:ascii="仿宋" w:hAnsi="仿宋" w:eastAsia="仿宋"/>
                <w:szCs w:val="21"/>
              </w:rPr>
            </w:pPr>
            <w:r>
              <w:rPr>
                <w:rFonts w:hint="eastAsia" w:ascii="仿宋" w:hAnsi="仿宋" w:eastAsia="仿宋"/>
                <w:szCs w:val="21"/>
              </w:rPr>
              <w:t>新乡市花溪科技股份有限公司</w:t>
            </w:r>
          </w:p>
        </w:tc>
        <w:tc>
          <w:tcPr>
            <w:tcW w:w="1276" w:type="dxa"/>
            <w:vAlign w:val="center"/>
          </w:tcPr>
          <w:p>
            <w:pPr>
              <w:jc w:val="center"/>
              <w:rPr>
                <w:rFonts w:ascii="仿宋" w:hAnsi="仿宋" w:eastAsia="仿宋"/>
                <w:szCs w:val="21"/>
              </w:rPr>
            </w:pPr>
            <w:r>
              <w:rPr>
                <w:rFonts w:ascii="仿宋" w:hAnsi="仿宋" w:eastAsia="仿宋"/>
                <w:szCs w:val="21"/>
              </w:rPr>
              <w:t>上市</w:t>
            </w:r>
          </w:p>
        </w:tc>
        <w:tc>
          <w:tcPr>
            <w:tcW w:w="1446" w:type="dxa"/>
            <w:vAlign w:val="center"/>
          </w:tcPr>
          <w:p>
            <w:pPr>
              <w:jc w:val="center"/>
              <w:rPr>
                <w:rFonts w:ascii="仿宋" w:hAnsi="仿宋" w:eastAsia="仿宋"/>
                <w:szCs w:val="21"/>
              </w:rPr>
            </w:pPr>
            <w:r>
              <w:rPr>
                <w:rFonts w:hint="eastAsia" w:ascii="仿宋" w:hAnsi="仿宋" w:eastAsia="仿宋"/>
                <w:szCs w:val="21"/>
              </w:rPr>
              <w:t>2023-04-06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b/>
                <w:szCs w:val="21"/>
              </w:rPr>
            </w:pPr>
            <w:r>
              <w:rPr>
                <w:rFonts w:hint="eastAsia" w:ascii="仿宋" w:hAnsi="仿宋" w:eastAsia="仿宋"/>
                <w:szCs w:val="21"/>
              </w:rPr>
              <w:t>2</w:t>
            </w:r>
          </w:p>
        </w:tc>
        <w:tc>
          <w:tcPr>
            <w:tcW w:w="851" w:type="dxa"/>
            <w:vAlign w:val="center"/>
          </w:tcPr>
          <w:p>
            <w:pPr>
              <w:jc w:val="center"/>
              <w:rPr>
                <w:rFonts w:ascii="仿宋" w:hAnsi="仿宋" w:eastAsia="仿宋"/>
                <w:szCs w:val="21"/>
              </w:rPr>
            </w:pPr>
            <w:r>
              <w:rPr>
                <w:rFonts w:hint="eastAsia" w:ascii="仿宋" w:hAnsi="仿宋" w:eastAsia="仿宋"/>
                <w:szCs w:val="21"/>
              </w:rPr>
              <w:t>深交所</w:t>
            </w:r>
          </w:p>
        </w:tc>
        <w:tc>
          <w:tcPr>
            <w:tcW w:w="992" w:type="dxa"/>
            <w:vAlign w:val="center"/>
          </w:tcPr>
          <w:p>
            <w:pPr>
              <w:jc w:val="center"/>
              <w:rPr>
                <w:rFonts w:ascii="仿宋" w:hAnsi="仿宋" w:eastAsia="仿宋"/>
                <w:szCs w:val="21"/>
              </w:rPr>
            </w:pPr>
            <w:r>
              <w:rPr>
                <w:rFonts w:hint="eastAsia" w:ascii="仿宋" w:hAnsi="仿宋" w:eastAsia="仿宋"/>
                <w:szCs w:val="21"/>
              </w:rPr>
              <w:t>创业板</w:t>
            </w:r>
          </w:p>
        </w:tc>
        <w:tc>
          <w:tcPr>
            <w:tcW w:w="3260" w:type="dxa"/>
            <w:vAlign w:val="center"/>
          </w:tcPr>
          <w:p>
            <w:pPr>
              <w:jc w:val="center"/>
              <w:rPr>
                <w:rFonts w:ascii="仿宋" w:hAnsi="仿宋" w:eastAsia="仿宋"/>
                <w:szCs w:val="21"/>
              </w:rPr>
            </w:pPr>
            <w:r>
              <w:rPr>
                <w:rFonts w:hint="eastAsia" w:ascii="仿宋" w:hAnsi="仿宋" w:eastAsia="仿宋"/>
                <w:szCs w:val="21"/>
              </w:rPr>
              <w:t>致欧家居科技股份有限公司</w:t>
            </w:r>
          </w:p>
        </w:tc>
        <w:tc>
          <w:tcPr>
            <w:tcW w:w="1276" w:type="dxa"/>
            <w:vAlign w:val="center"/>
          </w:tcPr>
          <w:p>
            <w:pPr>
              <w:jc w:val="center"/>
              <w:rPr>
                <w:rFonts w:ascii="仿宋" w:hAnsi="仿宋" w:eastAsia="仿宋"/>
                <w:szCs w:val="21"/>
              </w:rPr>
            </w:pPr>
            <w:r>
              <w:rPr>
                <w:rFonts w:ascii="仿宋" w:hAnsi="仿宋" w:eastAsia="仿宋"/>
                <w:szCs w:val="21"/>
              </w:rPr>
              <w:t>获发批文</w:t>
            </w:r>
          </w:p>
        </w:tc>
        <w:tc>
          <w:tcPr>
            <w:tcW w:w="1446" w:type="dxa"/>
            <w:vAlign w:val="center"/>
          </w:tcPr>
          <w:p>
            <w:pPr>
              <w:jc w:val="center"/>
              <w:rPr>
                <w:rFonts w:ascii="仿宋" w:hAnsi="仿宋" w:eastAsia="仿宋"/>
                <w:szCs w:val="21"/>
              </w:rPr>
            </w:pPr>
            <w:r>
              <w:rPr>
                <w:rFonts w:hint="eastAsia" w:ascii="仿宋" w:hAnsi="仿宋" w:eastAsia="仿宋"/>
                <w:szCs w:val="21"/>
              </w:rPr>
              <w:t>2023-04-26</w:t>
            </w:r>
          </w:p>
        </w:tc>
      </w:tr>
    </w:tbl>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本月无再融资实施完成事项。</w:t>
      </w:r>
    </w:p>
    <w:p>
      <w:pPr>
        <w:spacing w:before="156" w:beforeLines="50" w:after="156" w:afterLines="50"/>
        <w:jc w:val="center"/>
        <w:rPr>
          <w:rFonts w:ascii="仿宋" w:hAnsi="仿宋" w:eastAsia="仿宋"/>
          <w:b/>
          <w:sz w:val="24"/>
        </w:rPr>
      </w:pPr>
      <w:r>
        <w:rPr>
          <w:rFonts w:ascii="仿宋" w:hAnsi="仿宋" w:eastAsia="仿宋"/>
          <w:b/>
          <w:sz w:val="24"/>
        </w:rPr>
        <w:t>表4  对外投资事项</w:t>
      </w:r>
    </w:p>
    <w:tbl>
      <w:tblPr>
        <w:tblStyle w:val="9"/>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1161"/>
        <w:gridCol w:w="113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2023-04-28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2023-04-27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300248.SZ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新开普</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新开普电子股份有限公司（以下简称“公司”）为提高资金使用效率，合理利用闲置自有资金，增加公司收益，经公司第六届董事会第三次会议审议通过，公司（含公司全资子公司、控股子公司）拟使用不超过人民币50,000万元的部分闲置自有资金适时进行现金管理，期限自公司股东大会审议通过之日起12个月内有效，在授权额度内滚动使用，在额度范围内公司董事会授权董事长行使该项投资决策并签署相关合同文件。同意截至前次股东大会授权有效期末未到期的现金管理产品到期赎回。以上议案尚需提交股东大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2023-04-24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公司使用暂时闲置募集资金进行现金管理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公司使用暂时闲置募集资金进行现金管理。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近日，公司购买理财产品的相关事项有了新的进展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2023-04-20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新天地药业股份有限公司（以下简称“公司”）第五届董事会第九次会议、第五届监事会第六次会议审议通过了&lt;&lt;关于使用部分闲置募集资金进行现金管理的议案&gt;&gt;，同意使用最高额不超过人民币7亿元的暂时闲置募集资金购买投资期限为12个月以内的保本型投资产品（包括但不限于结构性存款、协定存款、通知存款、定期存款、大额存单等），在该额度内资金可以滚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300908.SZ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仲景食品</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近日，公司及全资子公司仲景食品（南阳）有限公司使用部分闲置募集资金和自有资金进行现金管理。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300732.SZ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设研院</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近日，公司使用部分暂时闲置自有资金进行了委托理财。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300807.SZ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天迈科技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公司根据&lt;&lt;深圳证券交易所创业板股票上市规则&gt;&gt;、&lt;&lt;公司章程&gt;&gt;等相关规定，本次使用闲置自有资金进行委托理财事宜属于董事会审批权限范围内，无须提交股东大会审议。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根据上述决议，近日公司使用部分闲置募集资金进行现金管理的产品已到期赎回，并继续使用闲置募集资金进行现金管理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301152.SZ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天力锂能</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近期，公司及公司子公司使用部分超募资金及闲置募集资金在授权范围内购买了理财产品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002179.SZ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中航光电</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近日，公司向中国光大银行股份有限公司洛阳珠江路支行（以下简称“中国光大银行”）申购1笔结构性存款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300263.SZ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隆华科技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隆华科技集团（洛阳）股份有限公司（以下简称“隆华科技”或“公司”）于2023年4月13日召开的第五届董事会第八次会议和第五届监事会第六次会议，审议通过了&lt;&lt;关于使用闲置募集资金进行现金管理的议案&gt;&gt;，同意公司在保证不影响募投项目建设及确保资金安全的情况下，使用不超过30,000万元的闲置募集资金进行现金管理，期限为自董事会审议通过之日起12个月内有效，在上述额度范围内，资金可以循环滚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近日，公司（含下属全资子公司）使用部分暂时闲置募集资金购买了理财产品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河南新天地药业股份有限公司于2023年4月12日与中国银行股份有限公司长葛支行签订结构性存款认购委托书，使用部分闲置自有资金购买了结构性存款。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2023-04-10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本次使用部分闲置募集资金进行现金管理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2023-04-08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003008.SZ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开普检测</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公司近日与中国建设银行股份有限公司许昌分行签订协议，使用暂时闲置募集资金购买理财产品。公司近日与中国建设银行股份有限公司许昌分行签订协议，使用自有资金购买理财产品。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2023-04-07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公司近期使用暂时闲置募集资金购买理财产品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2023-04-07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天地药业股份有限公司控股子公司新天地昭衍（北京）医药技术有限公司于2023年04月07日与兴业银行北京经济技术开发区支行签订结构性存款认购委托书，使用部分闲置自有资金购买了结构性存款。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2023-04-04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河南新天地药业股份有限公司于2023年4月4日与上海浦东发展银行股份有限公司许昌分行签订结构性存款认购委托书，使用部分闲置自有资金购买了结构性存款。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2023-04-03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301152.SZ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天力锂能</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公司近期购买理财产品</w:t>
            </w:r>
          </w:p>
        </w:tc>
      </w:tr>
    </w:tbl>
    <w:p>
      <w:pPr>
        <w:spacing w:before="156" w:beforeLines="50" w:after="156" w:afterLines="50"/>
        <w:jc w:val="center"/>
        <w:rPr>
          <w:rFonts w:ascii="仿宋" w:hAnsi="仿宋" w:eastAsia="仿宋"/>
          <w:b/>
          <w:sz w:val="24"/>
        </w:rPr>
      </w:pPr>
    </w:p>
    <w:p>
      <w:pPr>
        <w:spacing w:before="156" w:beforeLines="50" w:after="156" w:afterLines="50"/>
        <w:jc w:val="center"/>
        <w:rPr>
          <w:rFonts w:ascii="仿宋" w:hAnsi="仿宋" w:eastAsia="仿宋"/>
          <w:b/>
          <w:sz w:val="24"/>
        </w:rPr>
      </w:pPr>
    </w:p>
    <w:p>
      <w:pPr>
        <w:spacing w:before="156" w:beforeLines="50" w:after="156" w:afterLines="50"/>
        <w:jc w:val="center"/>
        <w:rPr>
          <w:rFonts w:ascii="仿宋" w:hAnsi="仿宋" w:eastAsia="仿宋"/>
          <w:b/>
          <w:sz w:val="24"/>
        </w:rPr>
      </w:pPr>
    </w:p>
    <w:p>
      <w:pPr>
        <w:spacing w:before="156" w:beforeLines="50" w:after="156" w:afterLines="50"/>
        <w:jc w:val="center"/>
        <w:rPr>
          <w:rFonts w:ascii="仿宋" w:hAnsi="仿宋" w:eastAsia="仿宋"/>
          <w:b/>
          <w:sz w:val="24"/>
        </w:rPr>
      </w:pPr>
      <w:r>
        <w:rPr>
          <w:rFonts w:hint="eastAsia" w:ascii="仿宋" w:hAnsi="仿宋" w:eastAsia="仿宋"/>
          <w:b/>
          <w:sz w:val="24"/>
        </w:rPr>
        <w:t>表5　再融资预案披露事项</w:t>
      </w:r>
    </w:p>
    <w:tbl>
      <w:tblPr>
        <w:tblStyle w:val="9"/>
        <w:tblW w:w="10348" w:type="dxa"/>
        <w:jc w:val="center"/>
        <w:tblLayout w:type="fixed"/>
        <w:tblCellMar>
          <w:top w:w="0" w:type="dxa"/>
          <w:left w:w="108" w:type="dxa"/>
          <w:bottom w:w="0" w:type="dxa"/>
          <w:right w:w="108" w:type="dxa"/>
        </w:tblCellMar>
      </w:tblPr>
      <w:tblGrid>
        <w:gridCol w:w="709"/>
        <w:gridCol w:w="1290"/>
        <w:gridCol w:w="1363"/>
        <w:gridCol w:w="1177"/>
        <w:gridCol w:w="1081"/>
        <w:gridCol w:w="1081"/>
        <w:gridCol w:w="1081"/>
        <w:gridCol w:w="1574"/>
        <w:gridCol w:w="992"/>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预案公告日</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最新披露日</w:t>
            </w:r>
          </w:p>
        </w:tc>
        <w:tc>
          <w:tcPr>
            <w:tcW w:w="11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事项类型</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定向增发目的</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方案进度</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预计募集资金</w:t>
            </w:r>
          </w:p>
          <w:p>
            <w:pPr>
              <w:jc w:val="center"/>
              <w:rPr>
                <w:rFonts w:ascii="仿宋" w:hAnsi="仿宋" w:eastAsia="仿宋"/>
                <w:b/>
                <w:szCs w:val="21"/>
              </w:rPr>
            </w:pPr>
            <w:r>
              <w:rPr>
                <w:rFonts w:hint="eastAsia" w:ascii="仿宋" w:hAnsi="仿宋" w:eastAsia="仿宋"/>
                <w:b/>
                <w:szCs w:val="21"/>
              </w:rPr>
              <w:t>(亿元)</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1</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002407.SZ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多氟多</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项目融资</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证监会通过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55.00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2</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002535.SZ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ST林重</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补充流动资金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3</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2023-04-08</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2023-04-08</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002613.SZ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北玻股份</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项目融资</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11.93</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4</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2022-07-26</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300829.SZ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金丹科技</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可转债</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证监会核准</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7.00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5</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2022-05-11</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2023-04-10</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600531.SH</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豫光金铅</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可转债</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股东大会通过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14.70</w:t>
            </w:r>
          </w:p>
        </w:tc>
      </w:tr>
    </w:tbl>
    <w:p>
      <w:pPr>
        <w:spacing w:before="156" w:beforeLines="50" w:after="156" w:afterLines="50"/>
        <w:jc w:val="center"/>
        <w:rPr>
          <w:rFonts w:ascii="仿宋" w:hAnsi="仿宋" w:eastAsia="仿宋"/>
          <w:b/>
          <w:sz w:val="24"/>
        </w:rPr>
      </w:pPr>
      <w:r>
        <w:rPr>
          <w:rFonts w:ascii="仿宋" w:hAnsi="仿宋" w:eastAsia="仿宋"/>
          <w:b/>
          <w:sz w:val="24"/>
        </w:rPr>
        <w:t>表6　上市公司重大资产重组事项</w:t>
      </w:r>
    </w:p>
    <w:tbl>
      <w:tblPr>
        <w:tblStyle w:val="9"/>
        <w:tblW w:w="10201" w:type="dxa"/>
        <w:jc w:val="center"/>
        <w:tblLayout w:type="fixed"/>
        <w:tblCellMar>
          <w:top w:w="0" w:type="dxa"/>
          <w:left w:w="108" w:type="dxa"/>
          <w:bottom w:w="0" w:type="dxa"/>
          <w:right w:w="108" w:type="dxa"/>
        </w:tblCellMar>
      </w:tblPr>
      <w:tblGrid>
        <w:gridCol w:w="704"/>
        <w:gridCol w:w="1225"/>
        <w:gridCol w:w="1185"/>
        <w:gridCol w:w="1276"/>
        <w:gridCol w:w="1275"/>
        <w:gridCol w:w="1276"/>
        <w:gridCol w:w="1276"/>
        <w:gridCol w:w="1984"/>
      </w:tblGrid>
      <w:tr>
        <w:tblPrEx>
          <w:tblCellMar>
            <w:top w:w="0" w:type="dxa"/>
            <w:left w:w="108" w:type="dxa"/>
            <w:bottom w:w="0" w:type="dxa"/>
            <w:right w:w="108" w:type="dxa"/>
          </w:tblCellMar>
        </w:tblPrEx>
        <w:trPr>
          <w:trHeight w:val="270" w:hRule="atLeast"/>
          <w:jc w:val="center"/>
        </w:trPr>
        <w:tc>
          <w:tcPr>
            <w:tcW w:w="70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rPr>
            </w:pPr>
            <w:r>
              <w:rPr>
                <w:rFonts w:hint="eastAsia" w:ascii="仿宋" w:hAnsi="仿宋" w:eastAsia="仿宋"/>
                <w:b/>
              </w:rPr>
              <w:t>序号</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300007.SZ</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汉威科技</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2023-04-20</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2023-02-21</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出让方</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19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汉威科技出售汉威智源65%股权。</w:t>
            </w:r>
          </w:p>
        </w:tc>
      </w:tr>
    </w:tbl>
    <w:p>
      <w:pPr>
        <w:spacing w:before="156" w:beforeLines="50" w:after="120"/>
        <w:ind w:firstLine="562" w:firstLineChars="200"/>
        <w:rPr>
          <w:rFonts w:ascii="仿宋" w:hAnsi="仿宋" w:eastAsia="仿宋"/>
          <w:b/>
          <w:sz w:val="28"/>
          <w:szCs w:val="30"/>
        </w:rPr>
      </w:pPr>
      <w:r>
        <w:rPr>
          <w:rFonts w:ascii="仿宋" w:hAnsi="仿宋" w:eastAsia="仿宋"/>
          <w:b/>
          <w:sz w:val="28"/>
          <w:szCs w:val="30"/>
        </w:rPr>
        <w:t>3.业绩与分红</w:t>
      </w:r>
    </w:p>
    <w:p>
      <w:pPr>
        <w:spacing w:before="312" w:beforeLines="100" w:after="156" w:afterLines="50"/>
        <w:ind w:firstLine="560" w:firstLineChars="200"/>
        <w:rPr>
          <w:rFonts w:ascii="仿宋" w:hAnsi="仿宋" w:eastAsia="仿宋"/>
          <w:sz w:val="28"/>
        </w:rPr>
      </w:pPr>
      <w:r>
        <w:rPr>
          <w:rFonts w:hint="eastAsia" w:ascii="仿宋" w:hAnsi="仿宋" w:eastAsia="仿宋"/>
          <w:sz w:val="28"/>
        </w:rPr>
        <w:t>考虑到4月份分红派息事项集中、数量大，具体数据详见附件。</w:t>
      </w:r>
      <w:r>
        <w:rPr>
          <w:rFonts w:ascii="仿宋" w:hAnsi="仿宋" w:eastAsia="仿宋"/>
          <w:sz w:val="28"/>
        </w:rPr>
        <w:t>本月辖区内披露业绩预告/快报</w:t>
      </w:r>
      <w:r>
        <w:rPr>
          <w:rFonts w:hint="eastAsia" w:ascii="仿宋" w:hAnsi="仿宋" w:eastAsia="仿宋"/>
          <w:sz w:val="28"/>
        </w:rPr>
        <w:t>的上市公司共8</w:t>
      </w:r>
      <w:r>
        <w:rPr>
          <w:rFonts w:ascii="仿宋" w:hAnsi="仿宋" w:eastAsia="仿宋"/>
          <w:sz w:val="28"/>
        </w:rPr>
        <w:t>家，其中，</w:t>
      </w:r>
      <w:r>
        <w:rPr>
          <w:rFonts w:hint="eastAsia" w:ascii="仿宋" w:hAnsi="仿宋" w:eastAsia="仿宋"/>
          <w:sz w:val="28"/>
        </w:rPr>
        <w:t>2家上市公司披露业绩快报预盈;6家上市公司披露业绩预告：4家业绩预盈，1家业绩扭亏为盈，1家业绩盈转亏。</w:t>
      </w:r>
    </w:p>
    <w:p>
      <w:pPr>
        <w:spacing w:before="156" w:beforeLines="50" w:after="156" w:afterLines="50"/>
        <w:jc w:val="center"/>
        <w:rPr>
          <w:rFonts w:ascii="仿宋" w:hAnsi="仿宋" w:eastAsia="仿宋"/>
          <w:b/>
          <w:sz w:val="24"/>
        </w:rPr>
      </w:pPr>
      <w:r>
        <w:rPr>
          <w:rFonts w:ascii="仿宋" w:hAnsi="仿宋" w:eastAsia="仿宋"/>
          <w:b/>
          <w:sz w:val="24"/>
        </w:rPr>
        <w:t>表7　业绩预告/快报事项</w:t>
      </w:r>
    </w:p>
    <w:tbl>
      <w:tblPr>
        <w:tblStyle w:val="1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276"/>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center"/>
              <w:rPr>
                <w:rFonts w:ascii="仿宋" w:hAnsi="仿宋" w:eastAsia="仿宋"/>
                <w:kern w:val="0"/>
                <w:szCs w:val="21"/>
              </w:rPr>
            </w:pPr>
            <w:r>
              <w:rPr>
                <w:rFonts w:hint="eastAsia" w:ascii="仿宋" w:hAnsi="仿宋" w:eastAsia="仿宋" w:cs="宋体"/>
                <w:b/>
                <w:color w:val="000000"/>
                <w:kern w:val="0"/>
                <w:szCs w:val="21"/>
              </w:rPr>
              <w:t>序号</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134"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事件类型</w:t>
            </w:r>
          </w:p>
        </w:tc>
        <w:tc>
          <w:tcPr>
            <w:tcW w:w="3005"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002560.SZ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通达股份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第1次2023年一季报业绩预告，公司业绩预增，预测业绩：净利润约3034.87万元~4105.99万元,变动幅度为:152.72%~241.91%。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002535.SZ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ST林重</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第1次2023年一季报业绩预告，公司业绩预增，预测业绩：净利润约2100.0万元~3000.0万元,变动幅度为:1438.24%~2097.48%。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002535.SZ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ST林重</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业绩快报</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公司已于2023-04-14披露2022年年报业绩快报：营业总收入11.2亿元，同比去年146.46%，净利润为1841.82万元，基本EPS为0.02元。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2023-04-11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002007.SZ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华兰生物</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第1次2023年一季报业绩预告，公司业绩预增，预测业绩：净利润约32741.44万元~37418.78万元,变动幅度为:40.0%~60.0%。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2023-04-11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002225.SZ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濮耐股份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业绩快报</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公司已于2023-04-11披露2022年年报业绩快报：营业总收入49.36亿元，同比去年12.75%，净利润为2.3亿元，同比去年174.18%，基本EPS为0.23元，加权平均ROE为7.36%。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2023-04-10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300109.SZ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新开源</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第1次2023年一季报业绩预告，公司业绩预增，预测业绩：净利润约12000.0万元~14000.0万元,变动幅度为:268.04%~329.38%。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2023-04-10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301207.SZ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华兰疫苗</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第1次2023年一季报业绩预告，公司业绩扭亏，预测业绩：净利润约8600.0万元~9300.0万元。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2023-04-07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002087.SZ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新野纺织</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3005" w:type="dxa"/>
            <w:vAlign w:val="center"/>
          </w:tcPr>
          <w:p>
            <w:pPr>
              <w:rPr>
                <w:rFonts w:ascii="仿宋" w:hAnsi="仿宋" w:eastAsia="仿宋"/>
                <w:color w:val="000000"/>
                <w:kern w:val="0"/>
                <w:szCs w:val="21"/>
              </w:rPr>
            </w:pPr>
            <w:r>
              <w:rPr>
                <w:rFonts w:hint="eastAsia" w:ascii="仿宋" w:hAnsi="仿宋" w:eastAsia="仿宋"/>
                <w:color w:val="000000"/>
                <w:kern w:val="0"/>
                <w:szCs w:val="21"/>
              </w:rPr>
              <w:t>第2次2022年年报业绩预告，公司业绩首亏，预测业绩：净利润约-68000.0万元~-63000.0万元,变动幅度为:-1489.24%~-1387.09%。</w:t>
            </w:r>
          </w:p>
        </w:tc>
      </w:tr>
    </w:tbl>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jc w:val="center"/>
        <w:rPr>
          <w:rFonts w:ascii="仿宋" w:hAnsi="仿宋" w:eastAsia="仿宋"/>
          <w:b/>
          <w:sz w:val="24"/>
          <w:szCs w:val="30"/>
        </w:rPr>
      </w:pPr>
      <w:r>
        <w:rPr>
          <w:rFonts w:ascii="仿宋" w:hAnsi="仿宋" w:eastAsia="仿宋"/>
          <w:b/>
          <w:sz w:val="24"/>
          <w:szCs w:val="30"/>
        </w:rPr>
        <w:t>表8　股东增/减持公司股票事项</w:t>
      </w:r>
    </w:p>
    <w:tbl>
      <w:tblPr>
        <w:tblStyle w:val="9"/>
        <w:tblW w:w="8642" w:type="dxa"/>
        <w:jc w:val="center"/>
        <w:tblLayout w:type="fixed"/>
        <w:tblCellMar>
          <w:top w:w="0" w:type="dxa"/>
          <w:left w:w="108" w:type="dxa"/>
          <w:bottom w:w="0" w:type="dxa"/>
          <w:right w:w="108" w:type="dxa"/>
        </w:tblCellMar>
      </w:tblPr>
      <w:tblGrid>
        <w:gridCol w:w="654"/>
        <w:gridCol w:w="1266"/>
        <w:gridCol w:w="1281"/>
        <w:gridCol w:w="1134"/>
        <w:gridCol w:w="1559"/>
        <w:gridCol w:w="2748"/>
      </w:tblGrid>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274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2023-04-25</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600312.SH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平高电气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2022-10-28至2023-04-25，中国电气装备集团有限公司增持1257.17万股公司股份，平均增持价格为7.9662CNY。截止2023-04-27，持有股份数量为5.62亿股流通股份，占流通股份总数比例为41.42%。</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2023-04-21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002358.SZ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森源电气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2月14日至4月20日，宏森融源通过司法拍卖、大宗交易方式累计增持公司股份104,933,615股，占公司总股本的11.29%，增持金额为447,367,409元。本次增持完成后，宏森融源持有公司股份147,094,815股，占公司总股本比例为15.82%。</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2023-04-20</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002358.SZ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森源电气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2023-04-20，河南宏森融源企业管理合伙企业(有限合伙)增持2191.62万股公司股份，平均增持价格为4.36CNY。截止2023-04-22，持有股份数量为1.47亿股流通股份，占流通股份总数比例为15.84%。</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2023-04-19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002358.SZ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森源电气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2023-04-19，河南宏森融源企业管理合伙企业(有限合伙)增持900万股公司股份，平均增持价格为4.37CNY。截止2023-04-22，持有股份数量为1.25亿股流通股份，占流通股份总数比例为13.48%。</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2023-04-03</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000544.SZ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中原环保</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2023-04-03，河南资产管理有限公司增持7.95万股公司股份，平均增持价格为6.33CNY。截止2023-04-04，持有股份数量为4873.42万股，占流通股份总数比例为5%。</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2023-04-03</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2023-01-12至2023-04-03，中国平煤神马控股集团有限公司增持2176.19万股公司股份。截止2023-04-04，持有股份数量为1.66亿股流通股份，占流通股份总数比例为13.62%。</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2023-04-03</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易成新能源股份有限公司于2023年4月3日收到公司控股股东中国平煤神马控股集团有限公司出具的《关于增持易成新能股票达总股本的1%且时间过半的告知函》，2023年1月12日至2023年4月3日，中国平煤神马已累计增持公司股份21,761,944股，增持的股份数量已达公司总股本的1%。</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2023-02-28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000544.SZ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中原环保</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2023-02-28，河南资产管理有限公司增持10.98万股公司股份，平均增持价格为6.83CNY。截止2023-04-04，持有股份数量为4865.47万股，占流通股份总数比例为4.99%。</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9</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2023-02-27</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000544.SZ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中原环保</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2023-02-27，河南资产管理有限公司增持29.8万股公司股份，平均增持价格为6.82CNY。截止2023-04-04，持有股份数量为4854.49万股，占流通股份总数比例为4.98%。</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10</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2023-02-14</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002358.SZ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森源电气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2023-02-14，河南宏森融源企业管理合伙企业(有限合伙)增持7401.74万股公司股份，平均增持价格为4.22CNY。截止2023-04-22，持有股份数量为1.16亿股流通股份，占流通股份总数比例为12.51%。</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2023-04-26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002582.SZ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好想你</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2023-04-03至2023-04-26，杭州浩丞实业有限公司减持308.39万股公司股份，平均减持价格为8.71CNY。截止2023-04-27，持有股份数量为2201.97万股，占流通股份总数比例为6.48%。</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2023-04-26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2023-03-29至2023-04-26，北京新华联产业投资有限公司减持36.12万股公司股份：其中通过大宗交易系统减持36.12万股公司股份。截止2023-04-27，持有股份数量为773.88万股，占流通股份总数比例为10.04%。</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2023-04-07</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301207.SZ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华兰疫苗</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2023-03-09至2023-04-07，河南高瓴骅盈企业管理咨询合伙企业(有限合伙)减持521.9万股公司股份：其中通过大宗交易系统减持521.9万股公司股份。截止2023-04-17，持有股份数量为2718.1万股，占流通股份总数比例为28.91%。</w:t>
            </w:r>
          </w:p>
        </w:tc>
      </w:tr>
      <w:tr>
        <w:tblPrEx>
          <w:tblCellMar>
            <w:top w:w="0" w:type="dxa"/>
            <w:left w:w="108" w:type="dxa"/>
            <w:bottom w:w="0" w:type="dxa"/>
            <w:right w:w="108" w:type="dxa"/>
          </w:tblCellMar>
        </w:tblPrEx>
        <w:trPr>
          <w:trHeight w:val="270"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2023-03-31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600222.SH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太龙药业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7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2023-01-03至2023-03-31，吴澜减持155.95万股公司股份，平均减持价格为6.3967CNY。截止2023-04-01，持有股份数量为3297.7万股，占流通股份总数比例为5.75%。</w:t>
            </w:r>
          </w:p>
        </w:tc>
      </w:tr>
    </w:tbl>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表9　4月董事长、董秘变动情况</w:t>
      </w:r>
    </w:p>
    <w:tbl>
      <w:tblPr>
        <w:tblStyle w:val="1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3"/>
        <w:gridCol w:w="1275"/>
        <w:gridCol w:w="127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413" w:type="dxa"/>
          </w:tcPr>
          <w:p>
            <w:pPr>
              <w:jc w:val="center"/>
              <w:rPr>
                <w:rFonts w:ascii="仿宋" w:hAnsi="仿宋" w:eastAsia="仿宋"/>
                <w:b/>
                <w:szCs w:val="21"/>
              </w:rPr>
            </w:pPr>
            <w:r>
              <w:rPr>
                <w:rFonts w:hint="eastAsia" w:ascii="仿宋" w:hAnsi="仿宋" w:eastAsia="仿宋"/>
                <w:b/>
                <w:szCs w:val="21"/>
              </w:rPr>
              <w:t>披露日期</w:t>
            </w:r>
          </w:p>
        </w:tc>
        <w:tc>
          <w:tcPr>
            <w:tcW w:w="1275" w:type="dxa"/>
          </w:tcPr>
          <w:p>
            <w:pPr>
              <w:jc w:val="center"/>
              <w:rPr>
                <w:rFonts w:ascii="仿宋" w:hAnsi="仿宋" w:eastAsia="仿宋"/>
                <w:b/>
                <w:szCs w:val="21"/>
              </w:rPr>
            </w:pPr>
            <w:r>
              <w:rPr>
                <w:rFonts w:hint="eastAsia" w:ascii="仿宋" w:hAnsi="仿宋" w:eastAsia="仿宋"/>
                <w:b/>
                <w:szCs w:val="21"/>
              </w:rPr>
              <w:t>证券代码</w:t>
            </w:r>
          </w:p>
        </w:tc>
        <w:tc>
          <w:tcPr>
            <w:tcW w:w="1276" w:type="dxa"/>
          </w:tcPr>
          <w:p>
            <w:pPr>
              <w:jc w:val="center"/>
              <w:rPr>
                <w:rFonts w:ascii="仿宋" w:hAnsi="仿宋" w:eastAsia="仿宋"/>
                <w:b/>
                <w:szCs w:val="21"/>
              </w:rPr>
            </w:pPr>
            <w:r>
              <w:rPr>
                <w:rFonts w:hint="eastAsia" w:ascii="仿宋" w:hAnsi="仿宋" w:eastAsia="仿宋"/>
                <w:b/>
                <w:szCs w:val="21"/>
              </w:rPr>
              <w:t>证券名称</w:t>
            </w:r>
          </w:p>
        </w:tc>
        <w:tc>
          <w:tcPr>
            <w:tcW w:w="3870"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1</w:t>
            </w:r>
          </w:p>
        </w:tc>
        <w:tc>
          <w:tcPr>
            <w:tcW w:w="1413" w:type="dxa"/>
            <w:vAlign w:val="center"/>
          </w:tcPr>
          <w:p>
            <w:pPr>
              <w:jc w:val="center"/>
              <w:rPr>
                <w:rFonts w:ascii="仿宋" w:hAnsi="仿宋" w:eastAsia="仿宋"/>
                <w:szCs w:val="21"/>
              </w:rPr>
            </w:pPr>
            <w:r>
              <w:rPr>
                <w:rFonts w:hint="eastAsia" w:ascii="仿宋" w:hAnsi="仿宋" w:eastAsia="仿宋"/>
                <w:szCs w:val="21"/>
              </w:rPr>
              <w:t>2023-04-28</w:t>
            </w:r>
          </w:p>
        </w:tc>
        <w:tc>
          <w:tcPr>
            <w:tcW w:w="1275" w:type="dxa"/>
            <w:vAlign w:val="center"/>
          </w:tcPr>
          <w:p>
            <w:pPr>
              <w:jc w:val="center"/>
              <w:rPr>
                <w:rFonts w:ascii="仿宋" w:hAnsi="仿宋" w:eastAsia="仿宋"/>
                <w:szCs w:val="21"/>
              </w:rPr>
            </w:pPr>
            <w:r>
              <w:rPr>
                <w:rFonts w:hint="eastAsia" w:ascii="仿宋" w:hAnsi="仿宋" w:eastAsia="仿宋"/>
                <w:szCs w:val="21"/>
              </w:rPr>
              <w:t>002535.SZ</w:t>
            </w:r>
          </w:p>
        </w:tc>
        <w:tc>
          <w:tcPr>
            <w:tcW w:w="1276" w:type="dxa"/>
            <w:vAlign w:val="center"/>
          </w:tcPr>
          <w:p>
            <w:pPr>
              <w:jc w:val="center"/>
              <w:rPr>
                <w:rFonts w:ascii="仿宋" w:hAnsi="仿宋" w:eastAsia="仿宋"/>
                <w:szCs w:val="21"/>
              </w:rPr>
            </w:pPr>
            <w:r>
              <w:rPr>
                <w:rFonts w:hint="eastAsia" w:ascii="仿宋" w:hAnsi="仿宋" w:eastAsia="仿宋"/>
                <w:szCs w:val="21"/>
              </w:rPr>
              <w:t>ST林重</w:t>
            </w:r>
          </w:p>
        </w:tc>
        <w:tc>
          <w:tcPr>
            <w:tcW w:w="3870" w:type="dxa"/>
            <w:vAlign w:val="center"/>
          </w:tcPr>
          <w:p>
            <w:pPr>
              <w:jc w:val="center"/>
              <w:rPr>
                <w:rFonts w:ascii="仿宋" w:hAnsi="仿宋" w:eastAsia="仿宋"/>
                <w:szCs w:val="21"/>
              </w:rPr>
            </w:pPr>
            <w:r>
              <w:rPr>
                <w:rFonts w:hint="eastAsia" w:ascii="仿宋" w:hAnsi="仿宋" w:eastAsia="仿宋"/>
                <w:szCs w:val="21"/>
              </w:rPr>
              <w:t>新聘董事长韩录云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2023-04-28</w:t>
            </w:r>
          </w:p>
        </w:tc>
        <w:tc>
          <w:tcPr>
            <w:tcW w:w="1275" w:type="dxa"/>
            <w:vAlign w:val="center"/>
          </w:tcPr>
          <w:p>
            <w:pPr>
              <w:jc w:val="center"/>
              <w:rPr>
                <w:rFonts w:ascii="仿宋" w:hAnsi="仿宋" w:eastAsia="仿宋"/>
                <w:szCs w:val="21"/>
              </w:rPr>
            </w:pPr>
            <w:r>
              <w:rPr>
                <w:rFonts w:hint="eastAsia" w:ascii="仿宋" w:hAnsi="仿宋" w:eastAsia="仿宋"/>
                <w:szCs w:val="21"/>
              </w:rPr>
              <w:t>002535.SZ</w:t>
            </w:r>
          </w:p>
        </w:tc>
        <w:tc>
          <w:tcPr>
            <w:tcW w:w="1276" w:type="dxa"/>
            <w:vAlign w:val="center"/>
          </w:tcPr>
          <w:p>
            <w:pPr>
              <w:jc w:val="center"/>
              <w:rPr>
                <w:rFonts w:ascii="仿宋" w:hAnsi="仿宋" w:eastAsia="仿宋"/>
                <w:szCs w:val="21"/>
              </w:rPr>
            </w:pPr>
            <w:r>
              <w:rPr>
                <w:rFonts w:hint="eastAsia" w:ascii="仿宋" w:hAnsi="仿宋" w:eastAsia="仿宋"/>
                <w:szCs w:val="21"/>
              </w:rPr>
              <w:t>ST林重</w:t>
            </w:r>
          </w:p>
        </w:tc>
        <w:tc>
          <w:tcPr>
            <w:tcW w:w="3870" w:type="dxa"/>
            <w:vAlign w:val="center"/>
          </w:tcPr>
          <w:p>
            <w:pPr>
              <w:jc w:val="center"/>
              <w:rPr>
                <w:rFonts w:ascii="仿宋" w:hAnsi="仿宋" w:eastAsia="仿宋"/>
                <w:szCs w:val="21"/>
              </w:rPr>
            </w:pPr>
            <w:r>
              <w:rPr>
                <w:rFonts w:hint="eastAsia" w:ascii="仿宋" w:hAnsi="仿宋" w:eastAsia="仿宋"/>
                <w:szCs w:val="21"/>
              </w:rPr>
              <w:t>董事长郭现生离任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2</w:t>
            </w:r>
          </w:p>
        </w:tc>
        <w:tc>
          <w:tcPr>
            <w:tcW w:w="1413" w:type="dxa"/>
            <w:vAlign w:val="center"/>
          </w:tcPr>
          <w:p>
            <w:pPr>
              <w:jc w:val="center"/>
              <w:rPr>
                <w:rFonts w:ascii="仿宋" w:hAnsi="仿宋" w:eastAsia="仿宋"/>
                <w:szCs w:val="21"/>
              </w:rPr>
            </w:pPr>
            <w:r>
              <w:rPr>
                <w:rFonts w:hint="eastAsia" w:ascii="仿宋" w:hAnsi="仿宋" w:eastAsia="仿宋"/>
                <w:szCs w:val="21"/>
              </w:rPr>
              <w:t>2023-04-26</w:t>
            </w:r>
          </w:p>
        </w:tc>
        <w:tc>
          <w:tcPr>
            <w:tcW w:w="1275" w:type="dxa"/>
            <w:vAlign w:val="center"/>
          </w:tcPr>
          <w:p>
            <w:pPr>
              <w:jc w:val="center"/>
              <w:rPr>
                <w:rFonts w:ascii="仿宋" w:hAnsi="仿宋" w:eastAsia="仿宋"/>
                <w:szCs w:val="21"/>
              </w:rPr>
            </w:pPr>
            <w:r>
              <w:rPr>
                <w:rFonts w:hint="eastAsia" w:ascii="仿宋" w:hAnsi="仿宋" w:eastAsia="仿宋"/>
                <w:szCs w:val="21"/>
              </w:rPr>
              <w:t>600569.SH</w:t>
            </w:r>
          </w:p>
        </w:tc>
        <w:tc>
          <w:tcPr>
            <w:tcW w:w="1276" w:type="dxa"/>
            <w:vAlign w:val="center"/>
          </w:tcPr>
          <w:p>
            <w:pPr>
              <w:jc w:val="center"/>
              <w:rPr>
                <w:rFonts w:ascii="仿宋" w:hAnsi="仿宋" w:eastAsia="仿宋"/>
                <w:szCs w:val="21"/>
              </w:rPr>
            </w:pPr>
            <w:r>
              <w:rPr>
                <w:rFonts w:hint="eastAsia" w:ascii="仿宋" w:hAnsi="仿宋" w:eastAsia="仿宋"/>
                <w:szCs w:val="21"/>
              </w:rPr>
              <w:t>安阳钢铁</w:t>
            </w:r>
          </w:p>
        </w:tc>
        <w:tc>
          <w:tcPr>
            <w:tcW w:w="3870" w:type="dxa"/>
            <w:vAlign w:val="center"/>
          </w:tcPr>
          <w:p>
            <w:pPr>
              <w:jc w:val="center"/>
              <w:rPr>
                <w:rFonts w:ascii="仿宋" w:hAnsi="仿宋" w:eastAsia="仿宋"/>
                <w:szCs w:val="21"/>
              </w:rPr>
            </w:pPr>
            <w:r>
              <w:rPr>
                <w:rFonts w:hint="eastAsia" w:ascii="仿宋" w:hAnsi="仿宋" w:eastAsia="仿宋"/>
                <w:szCs w:val="21"/>
              </w:rPr>
              <w:t>董事长潘树启离任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3</w:t>
            </w:r>
          </w:p>
        </w:tc>
        <w:tc>
          <w:tcPr>
            <w:tcW w:w="1413" w:type="dxa"/>
            <w:vAlign w:val="center"/>
          </w:tcPr>
          <w:p>
            <w:pPr>
              <w:jc w:val="center"/>
              <w:rPr>
                <w:rFonts w:ascii="仿宋" w:hAnsi="仿宋" w:eastAsia="仿宋"/>
                <w:szCs w:val="21"/>
              </w:rPr>
            </w:pPr>
            <w:r>
              <w:rPr>
                <w:rFonts w:hint="eastAsia" w:ascii="仿宋" w:hAnsi="仿宋" w:eastAsia="仿宋"/>
                <w:szCs w:val="21"/>
              </w:rPr>
              <w:t>2023-04-26</w:t>
            </w:r>
          </w:p>
        </w:tc>
        <w:tc>
          <w:tcPr>
            <w:tcW w:w="1275" w:type="dxa"/>
            <w:vAlign w:val="center"/>
          </w:tcPr>
          <w:p>
            <w:pPr>
              <w:jc w:val="center"/>
              <w:rPr>
                <w:rFonts w:ascii="仿宋" w:hAnsi="仿宋" w:eastAsia="仿宋"/>
                <w:szCs w:val="21"/>
              </w:rPr>
            </w:pPr>
            <w:r>
              <w:rPr>
                <w:rFonts w:hint="eastAsia" w:ascii="仿宋" w:hAnsi="仿宋" w:eastAsia="仿宋"/>
                <w:szCs w:val="21"/>
              </w:rPr>
              <w:t>688626.SH</w:t>
            </w:r>
          </w:p>
        </w:tc>
        <w:tc>
          <w:tcPr>
            <w:tcW w:w="1276" w:type="dxa"/>
            <w:vAlign w:val="center"/>
          </w:tcPr>
          <w:p>
            <w:pPr>
              <w:jc w:val="center"/>
              <w:rPr>
                <w:rFonts w:ascii="仿宋" w:hAnsi="仿宋" w:eastAsia="仿宋"/>
                <w:szCs w:val="21"/>
              </w:rPr>
            </w:pPr>
            <w:r>
              <w:rPr>
                <w:rFonts w:hint="eastAsia" w:ascii="仿宋" w:hAnsi="仿宋" w:eastAsia="仿宋"/>
                <w:szCs w:val="21"/>
              </w:rPr>
              <w:t>翔宇医疗</w:t>
            </w:r>
          </w:p>
        </w:tc>
        <w:tc>
          <w:tcPr>
            <w:tcW w:w="3870" w:type="dxa"/>
            <w:vAlign w:val="center"/>
          </w:tcPr>
          <w:p>
            <w:pPr>
              <w:jc w:val="center"/>
              <w:rPr>
                <w:rFonts w:ascii="仿宋" w:hAnsi="仿宋" w:eastAsia="仿宋"/>
                <w:szCs w:val="21"/>
              </w:rPr>
            </w:pPr>
            <w:r>
              <w:rPr>
                <w:rFonts w:hint="eastAsia" w:ascii="仿宋" w:hAnsi="仿宋" w:eastAsia="仿宋"/>
                <w:szCs w:val="21"/>
              </w:rPr>
              <w:t>新聘董事会秘书郭军玲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4</w:t>
            </w:r>
          </w:p>
        </w:tc>
        <w:tc>
          <w:tcPr>
            <w:tcW w:w="1413" w:type="dxa"/>
            <w:vAlign w:val="center"/>
          </w:tcPr>
          <w:p>
            <w:pPr>
              <w:jc w:val="center"/>
              <w:rPr>
                <w:rFonts w:ascii="仿宋" w:hAnsi="仿宋" w:eastAsia="仿宋"/>
                <w:szCs w:val="21"/>
              </w:rPr>
            </w:pPr>
            <w:r>
              <w:rPr>
                <w:rFonts w:hint="eastAsia" w:ascii="仿宋" w:hAnsi="仿宋" w:eastAsia="仿宋"/>
                <w:szCs w:val="21"/>
              </w:rPr>
              <w:t>2023-04-24</w:t>
            </w:r>
          </w:p>
        </w:tc>
        <w:tc>
          <w:tcPr>
            <w:tcW w:w="1275" w:type="dxa"/>
            <w:vAlign w:val="center"/>
          </w:tcPr>
          <w:p>
            <w:pPr>
              <w:jc w:val="center"/>
              <w:rPr>
                <w:rFonts w:ascii="仿宋" w:hAnsi="仿宋" w:eastAsia="仿宋"/>
                <w:szCs w:val="21"/>
              </w:rPr>
            </w:pPr>
            <w:r>
              <w:rPr>
                <w:rFonts w:hint="eastAsia" w:ascii="仿宋" w:hAnsi="仿宋" w:eastAsia="仿宋"/>
                <w:szCs w:val="21"/>
              </w:rPr>
              <w:t>300248.SZ</w:t>
            </w:r>
          </w:p>
        </w:tc>
        <w:tc>
          <w:tcPr>
            <w:tcW w:w="1276" w:type="dxa"/>
            <w:vAlign w:val="center"/>
          </w:tcPr>
          <w:p>
            <w:pPr>
              <w:jc w:val="center"/>
              <w:rPr>
                <w:rFonts w:ascii="仿宋" w:hAnsi="仿宋" w:eastAsia="仿宋"/>
                <w:szCs w:val="21"/>
              </w:rPr>
            </w:pPr>
            <w:r>
              <w:rPr>
                <w:rFonts w:hint="eastAsia" w:ascii="仿宋" w:hAnsi="仿宋" w:eastAsia="仿宋"/>
                <w:szCs w:val="21"/>
              </w:rPr>
              <w:t>新开普</w:t>
            </w:r>
          </w:p>
        </w:tc>
        <w:tc>
          <w:tcPr>
            <w:tcW w:w="3870" w:type="dxa"/>
            <w:vAlign w:val="center"/>
          </w:tcPr>
          <w:p>
            <w:pPr>
              <w:jc w:val="center"/>
              <w:rPr>
                <w:rFonts w:ascii="仿宋" w:hAnsi="仿宋" w:eastAsia="仿宋"/>
                <w:szCs w:val="21"/>
              </w:rPr>
            </w:pPr>
            <w:r>
              <w:rPr>
                <w:rFonts w:hint="eastAsia" w:ascii="仿宋" w:hAnsi="仿宋" w:eastAsia="仿宋"/>
                <w:szCs w:val="21"/>
              </w:rPr>
              <w:t>新聘代董事长李玉玲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5</w:t>
            </w:r>
          </w:p>
        </w:tc>
        <w:tc>
          <w:tcPr>
            <w:tcW w:w="1413" w:type="dxa"/>
            <w:vAlign w:val="center"/>
          </w:tcPr>
          <w:p>
            <w:pPr>
              <w:jc w:val="center"/>
              <w:rPr>
                <w:rFonts w:ascii="仿宋" w:hAnsi="仿宋" w:eastAsia="仿宋"/>
                <w:szCs w:val="21"/>
              </w:rPr>
            </w:pPr>
            <w:r>
              <w:rPr>
                <w:rFonts w:hint="eastAsia" w:ascii="仿宋" w:hAnsi="仿宋" w:eastAsia="仿宋"/>
                <w:szCs w:val="21"/>
              </w:rPr>
              <w:t>2023-04-21</w:t>
            </w:r>
          </w:p>
        </w:tc>
        <w:tc>
          <w:tcPr>
            <w:tcW w:w="1275" w:type="dxa"/>
            <w:vAlign w:val="center"/>
          </w:tcPr>
          <w:p>
            <w:pPr>
              <w:jc w:val="center"/>
              <w:rPr>
                <w:rFonts w:ascii="仿宋" w:hAnsi="仿宋" w:eastAsia="仿宋"/>
                <w:szCs w:val="21"/>
              </w:rPr>
            </w:pPr>
            <w:r>
              <w:rPr>
                <w:rFonts w:hint="eastAsia" w:ascii="仿宋" w:hAnsi="仿宋" w:eastAsia="仿宋"/>
                <w:szCs w:val="21"/>
              </w:rPr>
              <w:t>002936.SZ</w:t>
            </w:r>
          </w:p>
        </w:tc>
        <w:tc>
          <w:tcPr>
            <w:tcW w:w="1276" w:type="dxa"/>
            <w:vAlign w:val="center"/>
          </w:tcPr>
          <w:p>
            <w:pPr>
              <w:jc w:val="center"/>
              <w:rPr>
                <w:rFonts w:ascii="仿宋" w:hAnsi="仿宋" w:eastAsia="仿宋"/>
                <w:szCs w:val="21"/>
              </w:rPr>
            </w:pPr>
            <w:r>
              <w:rPr>
                <w:rFonts w:hint="eastAsia" w:ascii="仿宋" w:hAnsi="仿宋" w:eastAsia="仿宋"/>
                <w:szCs w:val="21"/>
              </w:rPr>
              <w:t>郑州银行</w:t>
            </w:r>
          </w:p>
        </w:tc>
        <w:tc>
          <w:tcPr>
            <w:tcW w:w="3870" w:type="dxa"/>
            <w:vAlign w:val="center"/>
          </w:tcPr>
          <w:p>
            <w:pPr>
              <w:jc w:val="center"/>
              <w:rPr>
                <w:rFonts w:ascii="仿宋" w:hAnsi="仿宋" w:eastAsia="仿宋"/>
                <w:szCs w:val="21"/>
              </w:rPr>
            </w:pPr>
            <w:r>
              <w:rPr>
                <w:rFonts w:hint="eastAsia" w:ascii="仿宋" w:hAnsi="仿宋" w:eastAsia="仿宋"/>
                <w:szCs w:val="21"/>
              </w:rPr>
              <w:t>新聘董事长赵飞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6</w:t>
            </w:r>
          </w:p>
        </w:tc>
        <w:tc>
          <w:tcPr>
            <w:tcW w:w="1413" w:type="dxa"/>
            <w:vAlign w:val="center"/>
          </w:tcPr>
          <w:p>
            <w:pPr>
              <w:jc w:val="center"/>
              <w:rPr>
                <w:rFonts w:ascii="仿宋" w:hAnsi="仿宋" w:eastAsia="仿宋"/>
                <w:szCs w:val="21"/>
              </w:rPr>
            </w:pPr>
            <w:r>
              <w:rPr>
                <w:rFonts w:hint="eastAsia" w:ascii="仿宋" w:hAnsi="仿宋" w:eastAsia="仿宋"/>
                <w:szCs w:val="21"/>
              </w:rPr>
              <w:t>2023-04-21</w:t>
            </w:r>
          </w:p>
        </w:tc>
        <w:tc>
          <w:tcPr>
            <w:tcW w:w="1275" w:type="dxa"/>
            <w:vAlign w:val="center"/>
          </w:tcPr>
          <w:p>
            <w:pPr>
              <w:jc w:val="center"/>
              <w:rPr>
                <w:rFonts w:ascii="仿宋" w:hAnsi="仿宋" w:eastAsia="仿宋"/>
                <w:szCs w:val="21"/>
              </w:rPr>
            </w:pPr>
            <w:r>
              <w:rPr>
                <w:rFonts w:hint="eastAsia" w:ascii="仿宋" w:hAnsi="仿宋" w:eastAsia="仿宋"/>
                <w:szCs w:val="21"/>
              </w:rPr>
              <w:t>300480.SZ</w:t>
            </w:r>
          </w:p>
        </w:tc>
        <w:tc>
          <w:tcPr>
            <w:tcW w:w="1276" w:type="dxa"/>
            <w:vAlign w:val="center"/>
          </w:tcPr>
          <w:p>
            <w:pPr>
              <w:jc w:val="center"/>
              <w:rPr>
                <w:rFonts w:ascii="仿宋" w:hAnsi="仿宋" w:eastAsia="仿宋"/>
                <w:szCs w:val="21"/>
              </w:rPr>
            </w:pPr>
            <w:r>
              <w:rPr>
                <w:rFonts w:hint="eastAsia" w:ascii="仿宋" w:hAnsi="仿宋" w:eastAsia="仿宋"/>
                <w:szCs w:val="21"/>
              </w:rPr>
              <w:t>光力科技</w:t>
            </w:r>
          </w:p>
        </w:tc>
        <w:tc>
          <w:tcPr>
            <w:tcW w:w="3870" w:type="dxa"/>
            <w:vAlign w:val="center"/>
          </w:tcPr>
          <w:p>
            <w:pPr>
              <w:jc w:val="center"/>
              <w:rPr>
                <w:rFonts w:ascii="仿宋" w:hAnsi="仿宋" w:eastAsia="仿宋"/>
                <w:szCs w:val="21"/>
              </w:rPr>
            </w:pPr>
            <w:r>
              <w:rPr>
                <w:rFonts w:hint="eastAsia" w:ascii="仿宋" w:hAnsi="仿宋" w:eastAsia="仿宋"/>
                <w:szCs w:val="21"/>
              </w:rPr>
              <w:t>新聘董事会秘书贾昆鹏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2023-04-21</w:t>
            </w:r>
          </w:p>
        </w:tc>
        <w:tc>
          <w:tcPr>
            <w:tcW w:w="1275" w:type="dxa"/>
            <w:vAlign w:val="center"/>
          </w:tcPr>
          <w:p>
            <w:pPr>
              <w:jc w:val="center"/>
              <w:rPr>
                <w:rFonts w:ascii="仿宋" w:hAnsi="仿宋" w:eastAsia="仿宋"/>
                <w:szCs w:val="21"/>
              </w:rPr>
            </w:pPr>
            <w:r>
              <w:rPr>
                <w:rFonts w:hint="eastAsia" w:ascii="仿宋" w:hAnsi="仿宋" w:eastAsia="仿宋"/>
                <w:szCs w:val="21"/>
              </w:rPr>
              <w:t>300480.SZ</w:t>
            </w:r>
          </w:p>
        </w:tc>
        <w:tc>
          <w:tcPr>
            <w:tcW w:w="1276" w:type="dxa"/>
            <w:vAlign w:val="center"/>
          </w:tcPr>
          <w:p>
            <w:pPr>
              <w:jc w:val="center"/>
              <w:rPr>
                <w:rFonts w:ascii="仿宋" w:hAnsi="仿宋" w:eastAsia="仿宋"/>
                <w:szCs w:val="21"/>
              </w:rPr>
            </w:pPr>
            <w:r>
              <w:rPr>
                <w:rFonts w:hint="eastAsia" w:ascii="仿宋" w:hAnsi="仿宋" w:eastAsia="仿宋"/>
                <w:szCs w:val="21"/>
              </w:rPr>
              <w:t>光力科技</w:t>
            </w:r>
          </w:p>
        </w:tc>
        <w:tc>
          <w:tcPr>
            <w:tcW w:w="3870" w:type="dxa"/>
            <w:vAlign w:val="center"/>
          </w:tcPr>
          <w:p>
            <w:pPr>
              <w:jc w:val="center"/>
              <w:rPr>
                <w:rFonts w:ascii="仿宋" w:hAnsi="仿宋" w:eastAsia="仿宋"/>
                <w:szCs w:val="21"/>
              </w:rPr>
            </w:pPr>
            <w:r>
              <w:rPr>
                <w:rFonts w:hint="eastAsia" w:ascii="仿宋" w:hAnsi="仿宋" w:eastAsia="仿宋"/>
                <w:szCs w:val="21"/>
              </w:rPr>
              <w:t>董事会秘书曹伟离任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7</w:t>
            </w:r>
          </w:p>
        </w:tc>
        <w:tc>
          <w:tcPr>
            <w:tcW w:w="1413" w:type="dxa"/>
            <w:vAlign w:val="center"/>
          </w:tcPr>
          <w:p>
            <w:pPr>
              <w:jc w:val="center"/>
              <w:rPr>
                <w:rFonts w:ascii="仿宋" w:hAnsi="仿宋" w:eastAsia="仿宋"/>
                <w:szCs w:val="21"/>
              </w:rPr>
            </w:pPr>
            <w:r>
              <w:rPr>
                <w:rFonts w:hint="eastAsia" w:ascii="仿宋" w:hAnsi="仿宋" w:eastAsia="仿宋"/>
                <w:szCs w:val="21"/>
              </w:rPr>
              <w:t>2023-04-19</w:t>
            </w:r>
          </w:p>
        </w:tc>
        <w:tc>
          <w:tcPr>
            <w:tcW w:w="1275" w:type="dxa"/>
            <w:vAlign w:val="center"/>
          </w:tcPr>
          <w:p>
            <w:pPr>
              <w:jc w:val="center"/>
              <w:rPr>
                <w:rFonts w:ascii="仿宋" w:hAnsi="仿宋" w:eastAsia="仿宋"/>
                <w:szCs w:val="21"/>
              </w:rPr>
            </w:pPr>
            <w:r>
              <w:rPr>
                <w:rFonts w:hint="eastAsia" w:ascii="仿宋" w:hAnsi="仿宋" w:eastAsia="仿宋"/>
                <w:szCs w:val="21"/>
              </w:rPr>
              <w:t>002358.SZ</w:t>
            </w:r>
          </w:p>
        </w:tc>
        <w:tc>
          <w:tcPr>
            <w:tcW w:w="1276" w:type="dxa"/>
            <w:vAlign w:val="center"/>
          </w:tcPr>
          <w:p>
            <w:pPr>
              <w:jc w:val="center"/>
              <w:rPr>
                <w:rFonts w:ascii="仿宋" w:hAnsi="仿宋" w:eastAsia="仿宋"/>
                <w:szCs w:val="21"/>
              </w:rPr>
            </w:pPr>
            <w:r>
              <w:rPr>
                <w:rFonts w:hint="eastAsia" w:ascii="仿宋" w:hAnsi="仿宋" w:eastAsia="仿宋"/>
                <w:szCs w:val="21"/>
              </w:rPr>
              <w:t>森源电气</w:t>
            </w:r>
          </w:p>
        </w:tc>
        <w:tc>
          <w:tcPr>
            <w:tcW w:w="3870" w:type="dxa"/>
            <w:vAlign w:val="center"/>
          </w:tcPr>
          <w:p>
            <w:pPr>
              <w:jc w:val="center"/>
              <w:rPr>
                <w:rFonts w:ascii="仿宋" w:hAnsi="仿宋" w:eastAsia="仿宋"/>
                <w:szCs w:val="21"/>
              </w:rPr>
            </w:pPr>
            <w:r>
              <w:rPr>
                <w:rFonts w:hint="eastAsia" w:ascii="仿宋" w:hAnsi="仿宋" w:eastAsia="仿宋"/>
                <w:szCs w:val="21"/>
              </w:rPr>
              <w:t>新聘董事长赵中亭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2023-04-19</w:t>
            </w:r>
          </w:p>
        </w:tc>
        <w:tc>
          <w:tcPr>
            <w:tcW w:w="1275" w:type="dxa"/>
            <w:vAlign w:val="center"/>
          </w:tcPr>
          <w:p>
            <w:pPr>
              <w:jc w:val="center"/>
              <w:rPr>
                <w:rFonts w:ascii="仿宋" w:hAnsi="仿宋" w:eastAsia="仿宋"/>
                <w:szCs w:val="21"/>
              </w:rPr>
            </w:pPr>
            <w:r>
              <w:rPr>
                <w:rFonts w:hint="eastAsia" w:ascii="仿宋" w:hAnsi="仿宋" w:eastAsia="仿宋"/>
                <w:szCs w:val="21"/>
              </w:rPr>
              <w:t>002358.SZ</w:t>
            </w:r>
          </w:p>
        </w:tc>
        <w:tc>
          <w:tcPr>
            <w:tcW w:w="1276" w:type="dxa"/>
            <w:vAlign w:val="center"/>
          </w:tcPr>
          <w:p>
            <w:pPr>
              <w:jc w:val="center"/>
              <w:rPr>
                <w:rFonts w:ascii="仿宋" w:hAnsi="仿宋" w:eastAsia="仿宋"/>
                <w:szCs w:val="21"/>
              </w:rPr>
            </w:pPr>
            <w:r>
              <w:rPr>
                <w:rFonts w:hint="eastAsia" w:ascii="仿宋" w:hAnsi="仿宋" w:eastAsia="仿宋"/>
                <w:szCs w:val="21"/>
              </w:rPr>
              <w:t>森源电气</w:t>
            </w:r>
          </w:p>
        </w:tc>
        <w:tc>
          <w:tcPr>
            <w:tcW w:w="3870" w:type="dxa"/>
            <w:vAlign w:val="center"/>
          </w:tcPr>
          <w:p>
            <w:pPr>
              <w:jc w:val="center"/>
              <w:rPr>
                <w:rFonts w:ascii="仿宋" w:hAnsi="仿宋" w:eastAsia="仿宋"/>
                <w:szCs w:val="21"/>
              </w:rPr>
            </w:pPr>
            <w:r>
              <w:rPr>
                <w:rFonts w:hint="eastAsia" w:ascii="仿宋" w:hAnsi="仿宋" w:eastAsia="仿宋"/>
                <w:szCs w:val="21"/>
              </w:rPr>
              <w:t>董事长杨合岭离任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8</w:t>
            </w:r>
          </w:p>
        </w:tc>
        <w:tc>
          <w:tcPr>
            <w:tcW w:w="1413" w:type="dxa"/>
            <w:vAlign w:val="center"/>
          </w:tcPr>
          <w:p>
            <w:pPr>
              <w:jc w:val="center"/>
              <w:rPr>
                <w:rFonts w:ascii="仿宋" w:hAnsi="仿宋" w:eastAsia="仿宋"/>
                <w:szCs w:val="21"/>
              </w:rPr>
            </w:pPr>
            <w:r>
              <w:rPr>
                <w:rFonts w:hint="eastAsia" w:ascii="仿宋" w:hAnsi="仿宋" w:eastAsia="仿宋"/>
                <w:szCs w:val="21"/>
              </w:rPr>
              <w:t>2023-04-17</w:t>
            </w:r>
          </w:p>
        </w:tc>
        <w:tc>
          <w:tcPr>
            <w:tcW w:w="1275" w:type="dxa"/>
            <w:vAlign w:val="center"/>
          </w:tcPr>
          <w:p>
            <w:pPr>
              <w:jc w:val="center"/>
              <w:rPr>
                <w:rFonts w:ascii="仿宋" w:hAnsi="仿宋" w:eastAsia="仿宋"/>
                <w:szCs w:val="21"/>
              </w:rPr>
            </w:pPr>
            <w:r>
              <w:rPr>
                <w:rFonts w:hint="eastAsia" w:ascii="仿宋" w:hAnsi="仿宋" w:eastAsia="仿宋"/>
                <w:szCs w:val="21"/>
              </w:rPr>
              <w:t>002601.SZ</w:t>
            </w:r>
          </w:p>
        </w:tc>
        <w:tc>
          <w:tcPr>
            <w:tcW w:w="1276" w:type="dxa"/>
            <w:vAlign w:val="center"/>
          </w:tcPr>
          <w:p>
            <w:pPr>
              <w:jc w:val="center"/>
              <w:rPr>
                <w:rFonts w:ascii="仿宋" w:hAnsi="仿宋" w:eastAsia="仿宋"/>
                <w:szCs w:val="21"/>
              </w:rPr>
            </w:pPr>
            <w:r>
              <w:rPr>
                <w:rFonts w:hint="eastAsia" w:ascii="仿宋" w:hAnsi="仿宋" w:eastAsia="仿宋"/>
                <w:szCs w:val="21"/>
              </w:rPr>
              <w:t>龙佰集团</w:t>
            </w:r>
          </w:p>
        </w:tc>
        <w:tc>
          <w:tcPr>
            <w:tcW w:w="3870" w:type="dxa"/>
            <w:vAlign w:val="center"/>
          </w:tcPr>
          <w:p>
            <w:pPr>
              <w:jc w:val="center"/>
              <w:rPr>
                <w:rFonts w:ascii="仿宋" w:hAnsi="仿宋" w:eastAsia="仿宋"/>
                <w:szCs w:val="21"/>
              </w:rPr>
            </w:pPr>
            <w:r>
              <w:rPr>
                <w:rFonts w:hint="eastAsia" w:ascii="仿宋" w:hAnsi="仿宋" w:eastAsia="仿宋"/>
                <w:szCs w:val="21"/>
              </w:rPr>
              <w:t>新聘董事长和奔流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2023-04-17</w:t>
            </w:r>
          </w:p>
        </w:tc>
        <w:tc>
          <w:tcPr>
            <w:tcW w:w="1275" w:type="dxa"/>
            <w:vAlign w:val="center"/>
          </w:tcPr>
          <w:p>
            <w:pPr>
              <w:jc w:val="center"/>
              <w:rPr>
                <w:rFonts w:ascii="仿宋" w:hAnsi="仿宋" w:eastAsia="仿宋"/>
                <w:szCs w:val="21"/>
              </w:rPr>
            </w:pPr>
            <w:r>
              <w:rPr>
                <w:rFonts w:hint="eastAsia" w:ascii="仿宋" w:hAnsi="仿宋" w:eastAsia="仿宋"/>
                <w:szCs w:val="21"/>
              </w:rPr>
              <w:t>002601.SZ</w:t>
            </w:r>
          </w:p>
        </w:tc>
        <w:tc>
          <w:tcPr>
            <w:tcW w:w="1276" w:type="dxa"/>
            <w:vAlign w:val="center"/>
          </w:tcPr>
          <w:p>
            <w:pPr>
              <w:jc w:val="center"/>
              <w:rPr>
                <w:rFonts w:ascii="仿宋" w:hAnsi="仿宋" w:eastAsia="仿宋"/>
                <w:szCs w:val="21"/>
              </w:rPr>
            </w:pPr>
            <w:r>
              <w:rPr>
                <w:rFonts w:hint="eastAsia" w:ascii="仿宋" w:hAnsi="仿宋" w:eastAsia="仿宋"/>
                <w:szCs w:val="21"/>
              </w:rPr>
              <w:t>龙佰集团</w:t>
            </w:r>
          </w:p>
        </w:tc>
        <w:tc>
          <w:tcPr>
            <w:tcW w:w="3870" w:type="dxa"/>
            <w:vAlign w:val="center"/>
          </w:tcPr>
          <w:p>
            <w:pPr>
              <w:jc w:val="center"/>
              <w:rPr>
                <w:rFonts w:ascii="仿宋" w:hAnsi="仿宋" w:eastAsia="仿宋"/>
                <w:szCs w:val="21"/>
              </w:rPr>
            </w:pPr>
            <w:r>
              <w:rPr>
                <w:rFonts w:hint="eastAsia" w:ascii="仿宋" w:hAnsi="仿宋" w:eastAsia="仿宋"/>
                <w:szCs w:val="21"/>
              </w:rPr>
              <w:t>董事长许刚离任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2023-04-17</w:t>
            </w:r>
          </w:p>
        </w:tc>
        <w:tc>
          <w:tcPr>
            <w:tcW w:w="1275" w:type="dxa"/>
            <w:vAlign w:val="center"/>
          </w:tcPr>
          <w:p>
            <w:pPr>
              <w:jc w:val="center"/>
              <w:rPr>
                <w:rFonts w:ascii="仿宋" w:hAnsi="仿宋" w:eastAsia="仿宋"/>
                <w:szCs w:val="21"/>
              </w:rPr>
            </w:pPr>
            <w:r>
              <w:rPr>
                <w:rFonts w:hint="eastAsia" w:ascii="仿宋" w:hAnsi="仿宋" w:eastAsia="仿宋"/>
                <w:szCs w:val="21"/>
              </w:rPr>
              <w:t>002601.SZ</w:t>
            </w:r>
          </w:p>
        </w:tc>
        <w:tc>
          <w:tcPr>
            <w:tcW w:w="1276" w:type="dxa"/>
            <w:vAlign w:val="center"/>
          </w:tcPr>
          <w:p>
            <w:pPr>
              <w:jc w:val="center"/>
              <w:rPr>
                <w:rFonts w:ascii="仿宋" w:hAnsi="仿宋" w:eastAsia="仿宋"/>
                <w:szCs w:val="21"/>
              </w:rPr>
            </w:pPr>
            <w:r>
              <w:rPr>
                <w:rFonts w:hint="eastAsia" w:ascii="仿宋" w:hAnsi="仿宋" w:eastAsia="仿宋"/>
                <w:szCs w:val="21"/>
              </w:rPr>
              <w:t>龙佰集团</w:t>
            </w:r>
          </w:p>
        </w:tc>
        <w:tc>
          <w:tcPr>
            <w:tcW w:w="3870" w:type="dxa"/>
            <w:vAlign w:val="center"/>
          </w:tcPr>
          <w:p>
            <w:pPr>
              <w:jc w:val="center"/>
              <w:rPr>
                <w:rFonts w:ascii="仿宋" w:hAnsi="仿宋" w:eastAsia="仿宋"/>
                <w:szCs w:val="21"/>
              </w:rPr>
            </w:pPr>
            <w:r>
              <w:rPr>
                <w:rFonts w:hint="eastAsia" w:ascii="仿宋" w:hAnsi="仿宋" w:eastAsia="仿宋"/>
                <w:szCs w:val="21"/>
              </w:rPr>
              <w:t>董事会秘书张海涛离任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2023-04-17</w:t>
            </w:r>
          </w:p>
        </w:tc>
        <w:tc>
          <w:tcPr>
            <w:tcW w:w="1275" w:type="dxa"/>
            <w:vAlign w:val="center"/>
          </w:tcPr>
          <w:p>
            <w:pPr>
              <w:jc w:val="center"/>
              <w:rPr>
                <w:rFonts w:ascii="仿宋" w:hAnsi="仿宋" w:eastAsia="仿宋"/>
                <w:szCs w:val="21"/>
              </w:rPr>
            </w:pPr>
            <w:r>
              <w:rPr>
                <w:rFonts w:hint="eastAsia" w:ascii="仿宋" w:hAnsi="仿宋" w:eastAsia="仿宋"/>
                <w:szCs w:val="21"/>
              </w:rPr>
              <w:t>002601.SZ</w:t>
            </w:r>
          </w:p>
        </w:tc>
        <w:tc>
          <w:tcPr>
            <w:tcW w:w="1276" w:type="dxa"/>
            <w:vAlign w:val="center"/>
          </w:tcPr>
          <w:p>
            <w:pPr>
              <w:jc w:val="center"/>
              <w:rPr>
                <w:rFonts w:ascii="仿宋" w:hAnsi="仿宋" w:eastAsia="仿宋"/>
                <w:szCs w:val="21"/>
              </w:rPr>
            </w:pPr>
            <w:r>
              <w:rPr>
                <w:rFonts w:hint="eastAsia" w:ascii="仿宋" w:hAnsi="仿宋" w:eastAsia="仿宋"/>
                <w:szCs w:val="21"/>
              </w:rPr>
              <w:t>龙佰集团</w:t>
            </w:r>
          </w:p>
        </w:tc>
        <w:tc>
          <w:tcPr>
            <w:tcW w:w="3870" w:type="dxa"/>
            <w:vAlign w:val="center"/>
          </w:tcPr>
          <w:p>
            <w:pPr>
              <w:jc w:val="center"/>
              <w:rPr>
                <w:rFonts w:ascii="仿宋" w:hAnsi="仿宋" w:eastAsia="仿宋"/>
                <w:szCs w:val="21"/>
              </w:rPr>
            </w:pPr>
            <w:r>
              <w:rPr>
                <w:rFonts w:hint="eastAsia" w:ascii="仿宋" w:hAnsi="仿宋" w:eastAsia="仿宋"/>
                <w:szCs w:val="21"/>
              </w:rPr>
              <w:t>新聘代董事会秘书王旭东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9</w:t>
            </w:r>
          </w:p>
        </w:tc>
        <w:tc>
          <w:tcPr>
            <w:tcW w:w="1413" w:type="dxa"/>
            <w:vAlign w:val="center"/>
          </w:tcPr>
          <w:p>
            <w:pPr>
              <w:jc w:val="center"/>
              <w:rPr>
                <w:rFonts w:ascii="仿宋" w:hAnsi="仿宋" w:eastAsia="仿宋"/>
                <w:szCs w:val="21"/>
              </w:rPr>
            </w:pPr>
            <w:r>
              <w:rPr>
                <w:rFonts w:hint="eastAsia" w:ascii="仿宋" w:hAnsi="仿宋" w:eastAsia="仿宋"/>
                <w:szCs w:val="21"/>
              </w:rPr>
              <w:t>2023-04-11</w:t>
            </w:r>
          </w:p>
        </w:tc>
        <w:tc>
          <w:tcPr>
            <w:tcW w:w="1275" w:type="dxa"/>
            <w:vAlign w:val="center"/>
          </w:tcPr>
          <w:p>
            <w:pPr>
              <w:jc w:val="center"/>
              <w:rPr>
                <w:rFonts w:ascii="仿宋" w:hAnsi="仿宋" w:eastAsia="仿宋"/>
                <w:szCs w:val="21"/>
              </w:rPr>
            </w:pPr>
            <w:r>
              <w:rPr>
                <w:rFonts w:hint="eastAsia" w:ascii="仿宋" w:hAnsi="仿宋" w:eastAsia="仿宋"/>
                <w:szCs w:val="21"/>
              </w:rPr>
              <w:t>000949.SZ</w:t>
            </w:r>
          </w:p>
        </w:tc>
        <w:tc>
          <w:tcPr>
            <w:tcW w:w="1276" w:type="dxa"/>
            <w:vAlign w:val="center"/>
          </w:tcPr>
          <w:p>
            <w:pPr>
              <w:jc w:val="center"/>
              <w:rPr>
                <w:rFonts w:ascii="仿宋" w:hAnsi="仿宋" w:eastAsia="仿宋"/>
                <w:szCs w:val="21"/>
              </w:rPr>
            </w:pPr>
            <w:r>
              <w:rPr>
                <w:rFonts w:hint="eastAsia" w:ascii="仿宋" w:hAnsi="仿宋" w:eastAsia="仿宋"/>
                <w:szCs w:val="21"/>
              </w:rPr>
              <w:t>新乡化纤</w:t>
            </w:r>
          </w:p>
        </w:tc>
        <w:tc>
          <w:tcPr>
            <w:tcW w:w="3870" w:type="dxa"/>
            <w:vAlign w:val="center"/>
          </w:tcPr>
          <w:p>
            <w:pPr>
              <w:jc w:val="center"/>
              <w:rPr>
                <w:rFonts w:ascii="仿宋" w:hAnsi="仿宋" w:eastAsia="仿宋"/>
                <w:szCs w:val="21"/>
              </w:rPr>
            </w:pPr>
            <w:r>
              <w:rPr>
                <w:rFonts w:hint="eastAsia" w:ascii="仿宋" w:hAnsi="仿宋" w:eastAsia="仿宋"/>
                <w:szCs w:val="21"/>
              </w:rPr>
              <w:t>新聘董事会秘书付玉霞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2023-04-11</w:t>
            </w:r>
          </w:p>
        </w:tc>
        <w:tc>
          <w:tcPr>
            <w:tcW w:w="1275" w:type="dxa"/>
            <w:vAlign w:val="center"/>
          </w:tcPr>
          <w:p>
            <w:pPr>
              <w:jc w:val="center"/>
              <w:rPr>
                <w:rFonts w:ascii="仿宋" w:hAnsi="仿宋" w:eastAsia="仿宋"/>
                <w:szCs w:val="21"/>
              </w:rPr>
            </w:pPr>
            <w:r>
              <w:rPr>
                <w:rFonts w:hint="eastAsia" w:ascii="仿宋" w:hAnsi="仿宋" w:eastAsia="仿宋"/>
                <w:szCs w:val="21"/>
              </w:rPr>
              <w:t>000949.SZ</w:t>
            </w:r>
          </w:p>
        </w:tc>
        <w:tc>
          <w:tcPr>
            <w:tcW w:w="1276" w:type="dxa"/>
            <w:vAlign w:val="center"/>
          </w:tcPr>
          <w:p>
            <w:pPr>
              <w:jc w:val="center"/>
              <w:rPr>
                <w:rFonts w:ascii="仿宋" w:hAnsi="仿宋" w:eastAsia="仿宋"/>
                <w:szCs w:val="21"/>
              </w:rPr>
            </w:pPr>
            <w:r>
              <w:rPr>
                <w:rFonts w:hint="eastAsia" w:ascii="仿宋" w:hAnsi="仿宋" w:eastAsia="仿宋"/>
                <w:szCs w:val="21"/>
              </w:rPr>
              <w:t>新乡化纤</w:t>
            </w:r>
          </w:p>
        </w:tc>
        <w:tc>
          <w:tcPr>
            <w:tcW w:w="3870" w:type="dxa"/>
            <w:vAlign w:val="center"/>
          </w:tcPr>
          <w:p>
            <w:pPr>
              <w:jc w:val="center"/>
              <w:rPr>
                <w:rFonts w:ascii="仿宋" w:hAnsi="仿宋" w:eastAsia="仿宋"/>
                <w:szCs w:val="21"/>
              </w:rPr>
            </w:pPr>
            <w:r>
              <w:rPr>
                <w:rFonts w:hint="eastAsia" w:ascii="仿宋" w:hAnsi="仿宋" w:eastAsia="仿宋"/>
                <w:szCs w:val="21"/>
              </w:rPr>
              <w:t>董事会秘书肖树彬离任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表10　重大项目情况表</w:t>
      </w:r>
    </w:p>
    <w:tbl>
      <w:tblPr>
        <w:tblStyle w:val="9"/>
        <w:tblW w:w="8642" w:type="dxa"/>
        <w:jc w:val="center"/>
        <w:tblLayout w:type="fixed"/>
        <w:tblCellMar>
          <w:top w:w="0" w:type="dxa"/>
          <w:left w:w="108" w:type="dxa"/>
          <w:bottom w:w="0" w:type="dxa"/>
          <w:right w:w="108" w:type="dxa"/>
        </w:tblCellMar>
      </w:tblPr>
      <w:tblGrid>
        <w:gridCol w:w="709"/>
        <w:gridCol w:w="1163"/>
        <w:gridCol w:w="1134"/>
        <w:gridCol w:w="1134"/>
        <w:gridCol w:w="1384"/>
        <w:gridCol w:w="3118"/>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ST林重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311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公司召开的第五届董事会第二十三次（临时）会议、第五届监事会第二十一次（临时）会议，审议通过了《关于向特定对象发行股票涉及关联交易暨签订附条件生效的股份认购合同的议案》</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002321.SZ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ST华英</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2023-04-18</w:t>
            </w:r>
          </w:p>
        </w:tc>
        <w:tc>
          <w:tcPr>
            <w:tcW w:w="311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河南华英农业发展股份有限公司与潢川县人民政府于近日签订了《共建潢川华英工业园战略合作框架协议》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002536.SZ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飞龙股份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2023-04-10</w:t>
            </w:r>
          </w:p>
        </w:tc>
        <w:tc>
          <w:tcPr>
            <w:tcW w:w="311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飞龙汽车部件股份有限公司(以下简称“公司”)近日收到某日系客户新能源项目(基于双方保密协议约定,不便披露客户具体名称)的《中标通知书》。根据通知书及项目情况,公司成为该客户某项目三款电子水泵的单独供应商,生命周期内预计销售收入超1亿元。公司将严格按照双方约定的协议、项目进度完成对方协议签订、产品供应等工作。</w:t>
            </w:r>
          </w:p>
        </w:tc>
      </w:tr>
    </w:tbl>
    <w:p>
      <w:pPr>
        <w:spacing w:before="156" w:beforeLines="50" w:after="156" w:afterLines="50"/>
        <w:rPr>
          <w:rFonts w:ascii="楷体" w:hAnsi="楷体" w:eastAsia="楷体" w:cs="Calibri"/>
          <w:b/>
          <w:sz w:val="28"/>
        </w:rPr>
      </w:pPr>
      <w:r>
        <w:rPr>
          <w:rFonts w:hint="eastAsia" w:ascii="仿宋" w:hAnsi="仿宋" w:eastAsia="仿宋"/>
          <w:b/>
          <w:sz w:val="28"/>
        </w:rPr>
        <w:t>六、上市公司四月违规案例精选</w:t>
      </w:r>
    </w:p>
    <w:p>
      <w:pPr>
        <w:spacing w:line="360" w:lineRule="auto"/>
        <w:ind w:firstLine="562" w:firstLineChars="200"/>
        <w:rPr>
          <w:rFonts w:ascii="仿宋" w:hAnsi="仿宋" w:eastAsia="仿宋" w:cs="仿宋"/>
          <w:color w:val="000000"/>
          <w:sz w:val="28"/>
          <w:szCs w:val="28"/>
        </w:rPr>
      </w:pPr>
      <w:r>
        <w:rPr>
          <w:rFonts w:ascii="仿宋" w:hAnsi="仿宋" w:eastAsia="仿宋" w:cs="仿宋"/>
          <w:b/>
          <w:color w:val="000000"/>
          <w:sz w:val="28"/>
          <w:szCs w:val="28"/>
        </w:rPr>
        <w:t xml:space="preserve">1. </w:t>
      </w:r>
      <w:r>
        <w:rPr>
          <w:rFonts w:hint="eastAsia" w:ascii="仿宋" w:hAnsi="仿宋" w:eastAsia="仿宋" w:cs="仿宋"/>
          <w:b/>
          <w:color w:val="000000"/>
          <w:sz w:val="28"/>
          <w:szCs w:val="28"/>
        </w:rPr>
        <w:t>控股股东筹划巨额投资未披露，实控人祖孙收监管函</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根据中国证券监督管理委员会浙江监管局的警示函及本所查明的事实，深主板某上市公司控股股东A公司于2022 年 12 月筹划投资实施日月光伏电池片“超级工厂”项目，并与相关方洽谈光伏电池项目合作事宜，明确与某经济技术开发区管委会进行项目投资合作的意向。公司股票于 2022 年 12 月22 日、2022 年 12 月 23 日连续两个交易日收盘价格涨幅偏离值累计超过 20%，达到股票交易异常波动的标准。公司于 2022 年12 月 25 日下午披露的《股票交易异常波动公告》显示，公司、控股股东和实际控制人不存在关于公司的应披露而未披露的重大事项，也不存在处于筹划阶段的重大事项，存在信息披露不准确、不完整的情形。</w:t>
      </w:r>
    </w:p>
    <w:p>
      <w:pPr>
        <w:spacing w:line="360" w:lineRule="auto"/>
        <w:ind w:firstLine="562" w:firstLineChars="200"/>
        <w:rPr>
          <w:rFonts w:ascii="仿宋" w:hAnsi="仿宋" w:eastAsia="仿宋" w:cs="仿宋"/>
          <w:color w:val="000000"/>
          <w:sz w:val="28"/>
          <w:szCs w:val="28"/>
        </w:rPr>
      </w:pPr>
      <w:r>
        <w:rPr>
          <w:rFonts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深交所认为，公司的上述行为违反了《股票上市规则（2022 年修订）》第 2.1.1 条和第 7.1.2 条的规定。控股股东A公司未及时将有关筹划事项告知公司，违反了《股票上市规则（2022 年修订）》第 2.1.1 条和《上市公司自律监管指引第 1 号——主板上市公司规范运作》第4.1.6 条、第 4.3.10 的规定，公司董事长虞某五、公司总经理兼董事会秘书虞某华违反了《股票上市规则（2022 年修订）》第 2.1.2 条的规定。对上市公司及相关责任人出具监管函。</w:t>
      </w:r>
    </w:p>
    <w:p>
      <w:pPr>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《深圳证券交易所股票上市规则（2023年修订）》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2.1.1上市公司及相关信息披露义务人应当根据法律法规、本规则及本所其他规定，及时、公平地披露信息，并保证所披露的信息真实、准确、完整，简明清晰、通俗易懂，不得有虚假记载、误导性陈述或者重大遗漏。</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本规则所称相关信息披露义务人，是指本规则第1.4条规定的除上市公司外的承担信息披露义务的主体。</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《深圳证券交易所上市公司自律监管指引第1号——主板上市公司规范运作》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4.3.10 媒体出现与控股股东、实际控制人有关的报道或者传闻，且可能对上市公司股票及其衍生品种交易价格产生较大影响的，控股股东、实际控制人应当主动了解真实情况，及时将相关信息告知公司和答复公司的询证，并保证所提供信息和材料的真实、准确、完整，配合公司履行信息披露义务。</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控股股东、实际控制人及其相关人员在接受媒体采访和投资者调研，或者与其他机构和个人进行沟通时，不得提供、传播与公司相关的未披露的重大信息，或者提供、传播虚假信息、进行误导性陈述等。</w:t>
      </w:r>
    </w:p>
    <w:p>
      <w:pPr>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上市公司控股股东筹划重大事项且可能对上市公司股票及其衍生品种交易价格产生较大影响的，控股股东应当及时将相关信息告知公司且配合上市公司履行信息披露义务。</w:t>
      </w:r>
    </w:p>
    <w:p>
      <w:pPr>
        <w:spacing w:line="360" w:lineRule="auto"/>
        <w:ind w:firstLine="560" w:firstLineChars="200"/>
        <w:rPr>
          <w:rFonts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w:t>
      </w:r>
      <w:r>
        <w:rPr>
          <w:rFonts w:hint="eastAsia" w:ascii="仿宋" w:hAnsi="仿宋" w:eastAsia="仿宋"/>
          <w:sz w:val="28"/>
          <w:szCs w:val="28"/>
        </w:rPr>
        <w:t xml:space="preserve"> </w:t>
      </w:r>
      <w:r>
        <w:rPr>
          <w:rFonts w:hint="eastAsia" w:ascii="仿宋" w:hAnsi="仿宋" w:eastAsia="仿宋" w:cs="仿宋"/>
          <w:b/>
          <w:color w:val="000000"/>
          <w:sz w:val="28"/>
          <w:szCs w:val="28"/>
        </w:rPr>
        <w:t>股东、实控人、董监高《声明及承诺书》也要好好填写！</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经查，上市公司控股股东A公司、实际控制人刘某明、董事刘某希提交上市公司的《上市公司控股股东、实际控制人声明及承诺书》《上市公司董事声明及承诺书》存在填报关联方不完整的情况。</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r>
        <w:rPr>
          <w:rFonts w:hint="eastAsia" w:ascii="仿宋" w:hAnsi="仿宋" w:eastAsia="仿宋" w:cs="仿宋"/>
          <w:b/>
          <w:color w:val="000000"/>
          <w:sz w:val="28"/>
          <w:szCs w:val="28"/>
        </w:rPr>
        <w:tab/>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云南证监局认为，上述行为违反了《上市公司信息披露管理办法》(证监会令第40号)第四十八条、《上市公司信息披露管理办法》(证监会令第182号)第四十一条的相关规定。对相关责任人采取责令改正的监管措施，并记入证券期货市场诚信档案。</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u w:val="single"/>
        </w:rPr>
        <w:t>《上市公司信息披露管理办法》</w:t>
      </w:r>
      <w:r>
        <w:rPr>
          <w:rFonts w:hint="eastAsia" w:ascii="仿宋" w:hAnsi="仿宋" w:eastAsia="仿宋" w:cs="仿宋"/>
          <w:b/>
          <w:color w:val="000000"/>
          <w:sz w:val="28"/>
          <w:szCs w:val="28"/>
        </w:rPr>
        <w:t>（2021年修订）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第四十一条 上市公司董事、监事、高级管理人员、持股百分之五以上的股东及其一致行动人、实际控制人应当及时向上市公司董事会报送上市公司关联人名单及关联关系的说明。上市公司应当履行关联交易的审议程序，并严格执行关联交易回避表决制度。交易各方不得通过隐瞒关联关系或者采取其他手段，规避上市公司的关联交易审议程序和信息披露义务。</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上市公司实际控制人、控股股东、董事、监事和高级管理人员应当保证《控股股东、实际控制人声明及承诺书》与《董事（监事、高级管理人员）声明及承诺书》中声明事项的真实、准确、完整，不存在虚假记载、误导性陈述或者重大遗漏。</w:t>
      </w: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r>
        <w:rPr>
          <w:rFonts w:ascii="楷体" w:hAnsi="楷体" w:eastAsia="楷体" w:cs="Calibri"/>
          <w:b/>
          <w:sz w:val="28"/>
        </w:rPr>
        <w:br w:type="page"/>
      </w:r>
    </w:p>
    <w:p>
      <w:pPr>
        <w:spacing w:before="156" w:beforeLines="50" w:after="156" w:afterLines="50"/>
        <w:rPr>
          <w:rFonts w:ascii="楷体" w:hAnsi="楷体" w:eastAsia="楷体" w:cs="Calibri"/>
          <w:b/>
          <w:sz w:val="28"/>
        </w:rPr>
      </w:pPr>
      <w:r>
        <w:rPr>
          <w:rFonts w:ascii="楷体" w:hAnsi="楷体" w:eastAsia="楷体" w:cs="Calibri"/>
          <w:b/>
          <w:sz w:val="28"/>
        </w:rPr>
        <w:t>附件：分红派息事项</w:t>
      </w:r>
    </w:p>
    <w:tbl>
      <w:tblPr>
        <w:tblStyle w:val="9"/>
        <w:tblW w:w="8676" w:type="dxa"/>
        <w:jc w:val="center"/>
        <w:tblLayout w:type="fixed"/>
        <w:tblCellMar>
          <w:top w:w="0" w:type="dxa"/>
          <w:left w:w="108" w:type="dxa"/>
          <w:bottom w:w="0" w:type="dxa"/>
          <w:right w:w="108" w:type="dxa"/>
        </w:tblCellMar>
      </w:tblPr>
      <w:tblGrid>
        <w:gridCol w:w="710"/>
        <w:gridCol w:w="1275"/>
        <w:gridCol w:w="1208"/>
        <w:gridCol w:w="1290"/>
        <w:gridCol w:w="4193"/>
      </w:tblGrid>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12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41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ascii="仿宋" w:hAnsi="仿宋" w:eastAsia="仿宋" w:cs="宋体"/>
                <w:b/>
                <w:color w:val="000000"/>
                <w:kern w:val="0"/>
                <w:szCs w:val="21"/>
              </w:rPr>
              <w:t>方案说明</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600469.SH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风神股份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002087.SZ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新野纺织</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600781.SH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*ST辅仁</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000612.SZ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焦作万方</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2022年年报分红预案：10派0.7元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2022年年报分红预案：10派2元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688626.SH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翔宇医疗</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2022年年报分红预案：10派2.4元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000949.SZ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新乡化纤</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9</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834415.BJ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恒拓开源</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2022年年报分红预案：10派0.6元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10</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872895.BJ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花溪科技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600439.SH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瑞贝卡</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600569.SH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安阳钢铁</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002448.SZ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中原内配</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002536.SZ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飞龙股份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2022年年报分红预案：10派2元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002582.SZ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好想你</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002601.SZ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龙佰集团</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002714.SZ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牧原股份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2022年年报分红预案：10派7.36元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19</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002189.SZ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中光学</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20</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002358.SZ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森源电气</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002613.SZ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北玻股份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300013.SZ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新宁物流</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300109.SZ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新开源</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300248.SZ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新开普</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2022年年报分红预案：10派0.65元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833580.BJ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科创新材</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2022年年报分红预案：10派1.2元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835207.BJ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众诚科技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2023-04-26</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002423.SZ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中粮资本</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2022年年报分红预案：10派0.78元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2023-04-26</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603566.SH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普莱柯</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2022年年报分红预案：10派3.5元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29</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2023-04-26</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688357.SH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建龙微纳</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2022年年报分红预案：10转4股派10元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30</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2023-04-26</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2022年年报分红预案：10派4元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2023-04-26</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600285.SH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羚锐制药</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2022年年报分红预案：10派6元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2023-04-26</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000719.SZ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中原传媒</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2022年年报分红预案：10派3.8元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833454.BJ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同心传动</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002216.SZ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三全食品</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2022年年报分红预案：10派3.5元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002406.SZ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远东传动</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002535.SZ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ST林重</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600172.SH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黄河旋风</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688313.SH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仕佳光子</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39</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834407.BJ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驰诚股份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40</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2022年年报分红预案：10派1.65元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002132.SZ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恒星科技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603658.SH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安图生物</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2022年年报分红预案：10派8元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688119.SH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中钢洛耐</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2022年年报分红预案：10派1.2元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831087.BJ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秋乐种业</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002225.SZ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濮耐股份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2022年年报分红预案：10派0.6元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300179.SZ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四方达</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300829.SZ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金丹科技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600312.SH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平高电气</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2022年年报分红预案：10派0.55元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49</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601677.SH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明泰铝业</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2022年年报分红预案：10派1.66元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50</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2023-04-20</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003008.SZ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开普检测</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2022年年报分红预案：10派5元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2023-04-20</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301152.SZ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天力锂能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2022年年报分红预案：10派3元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001215.SZ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千味央厨</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2022年年报分红预案：10派1.7元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002296.SZ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辉煌科技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300807.SZ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天迈科技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002321.SZ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ST华英</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300263.SZ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隆华科技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2022年年报分红预案：10派0.3元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600020.SH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中原高速</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2022年年报分红预案：10派0.19元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59</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2023-04-13</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002046.SZ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国机精工</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2022年年报分红预案：10派1.77元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60</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603508.SH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思维列控</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2022年年报分红预案：10派5.451元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600121.SH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郑州煤电</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2023-04-11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832225.BJ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利通科技</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2022年年报分红预案：10派2元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2023-04-08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000400.SZ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许继电气</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2022年年报分红预案：10派1.4元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2023-04-08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300908.SZ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仲景食品</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2022年年报分红预案：10派10元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2023-04-08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839725.BJ</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惠丰钻石</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2022年年报分红预案：10派1元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2023-04-07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300910.SZ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瑞丰新材</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2022年年报分红预案：10转9股派23元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2023-04-07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600222.SH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太龙药业</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69</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2023-04-07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601666.SH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平煤股份</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2022年年报分红预案：10派8.7元</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70</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2023-04-04</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600817.SH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宇通重工</w:t>
            </w:r>
          </w:p>
        </w:tc>
        <w:tc>
          <w:tcPr>
            <w:tcW w:w="41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2022年年报分红预案：10派3.8元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hMGVmMjU4ZjAwN2U3NzEwM2Q3ZDg1Y2FiMGI1ZmIifQ=="/>
  </w:docVars>
  <w:rsids>
    <w:rsidRoot w:val="5CA456FA"/>
    <w:rsid w:val="00074D92"/>
    <w:rsid w:val="00091ABF"/>
    <w:rsid w:val="000925A6"/>
    <w:rsid w:val="000D2958"/>
    <w:rsid w:val="001201C0"/>
    <w:rsid w:val="00123B9D"/>
    <w:rsid w:val="00135E58"/>
    <w:rsid w:val="001733F4"/>
    <w:rsid w:val="001F1EDE"/>
    <w:rsid w:val="002071AC"/>
    <w:rsid w:val="002202DE"/>
    <w:rsid w:val="0023716C"/>
    <w:rsid w:val="002836A6"/>
    <w:rsid w:val="002860E7"/>
    <w:rsid w:val="002C52F1"/>
    <w:rsid w:val="002D46AF"/>
    <w:rsid w:val="00300266"/>
    <w:rsid w:val="00502292"/>
    <w:rsid w:val="00511E38"/>
    <w:rsid w:val="00553805"/>
    <w:rsid w:val="00567A23"/>
    <w:rsid w:val="00634DD8"/>
    <w:rsid w:val="00662752"/>
    <w:rsid w:val="006A2010"/>
    <w:rsid w:val="006B4BC7"/>
    <w:rsid w:val="006E4910"/>
    <w:rsid w:val="0077380A"/>
    <w:rsid w:val="007A5E44"/>
    <w:rsid w:val="00832BA2"/>
    <w:rsid w:val="00905FA6"/>
    <w:rsid w:val="009233CE"/>
    <w:rsid w:val="0093672A"/>
    <w:rsid w:val="00947D35"/>
    <w:rsid w:val="00967ED2"/>
    <w:rsid w:val="009B4AF1"/>
    <w:rsid w:val="00A0048E"/>
    <w:rsid w:val="00A2065C"/>
    <w:rsid w:val="00A25C9D"/>
    <w:rsid w:val="00A450DC"/>
    <w:rsid w:val="00AB7415"/>
    <w:rsid w:val="00AE2C15"/>
    <w:rsid w:val="00AF5A65"/>
    <w:rsid w:val="00B12211"/>
    <w:rsid w:val="00B150AF"/>
    <w:rsid w:val="00B54906"/>
    <w:rsid w:val="00BF15A3"/>
    <w:rsid w:val="00BF36C0"/>
    <w:rsid w:val="00C063F5"/>
    <w:rsid w:val="00C14AC7"/>
    <w:rsid w:val="00C4787B"/>
    <w:rsid w:val="00C50CF6"/>
    <w:rsid w:val="00D3205F"/>
    <w:rsid w:val="00D4346F"/>
    <w:rsid w:val="00D803FB"/>
    <w:rsid w:val="00DD6843"/>
    <w:rsid w:val="00DF64B8"/>
    <w:rsid w:val="00F216F4"/>
    <w:rsid w:val="00F94756"/>
    <w:rsid w:val="00FA2724"/>
    <w:rsid w:val="00FE5E55"/>
    <w:rsid w:val="00FE72C8"/>
    <w:rsid w:val="00FF5D07"/>
    <w:rsid w:val="08324530"/>
    <w:rsid w:val="111E6522"/>
    <w:rsid w:val="1A8132BF"/>
    <w:rsid w:val="2640002F"/>
    <w:rsid w:val="2DE34E7D"/>
    <w:rsid w:val="30AC56BF"/>
    <w:rsid w:val="383B2000"/>
    <w:rsid w:val="4ABF3832"/>
    <w:rsid w:val="55BF28E5"/>
    <w:rsid w:val="5CA456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3"/>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字符"/>
    <w:basedOn w:val="11"/>
    <w:link w:val="6"/>
    <w:uiPriority w:val="99"/>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394062930044"/>
          <c:y val="0.158544864095378"/>
          <c:w val="0.349211874139911"/>
          <c:h val="0.750706881978736"/>
        </c:manualLayout>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Lbls>
            <c:dLbl>
              <c:idx val="0"/>
              <c:layout>
                <c:manualLayout>
                  <c:x val="-0.0131406044678055"/>
                  <c:y val="0.02824858757062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83968462549277"/>
                  <c:y val="-0.04519774011299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262812089356106"/>
                  <c:y val="-0.03672316384180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10249671484888"/>
                  <c:y val="0.03954802259887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110598363115254"/>
                  <c:y val="0.094037991013835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55449212081079"/>
                  <c:y val="0.085625250233551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0788932920835628"/>
                  <c:y val="0.03107344632768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149796682773392"/>
                  <c:y val="0.002824858757062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690130060943432"/>
                  <c:y val="0.022598870056497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日常消费</c:v>
                </c:pt>
                <c:pt idx="1">
                  <c:v>材料</c:v>
                </c:pt>
                <c:pt idx="2">
                  <c:v>工业</c:v>
                </c:pt>
                <c:pt idx="3">
                  <c:v>信息技术</c:v>
                </c:pt>
                <c:pt idx="4">
                  <c:v>医疗保健</c:v>
                </c:pt>
                <c:pt idx="5">
                  <c:v>可选消费</c:v>
                </c:pt>
                <c:pt idx="6">
                  <c:v>金融</c:v>
                </c:pt>
                <c:pt idx="7">
                  <c:v>能源</c:v>
                </c:pt>
                <c:pt idx="8">
                  <c:v>公用事业</c:v>
                </c:pt>
              </c:strCache>
            </c:strRef>
          </c:cat>
          <c:val>
            <c:numRef>
              <c:f>Sheet2!$B$18:$B$26</c:f>
              <c:numCache>
                <c:formatCode>General</c:formatCode>
                <c:ptCount val="9"/>
                <c:pt idx="0">
                  <c:v>3966.34</c:v>
                </c:pt>
                <c:pt idx="1">
                  <c:v>3792.34</c:v>
                </c:pt>
                <c:pt idx="2">
                  <c:v>2001.73</c:v>
                </c:pt>
                <c:pt idx="3">
                  <c:v>1534.57</c:v>
                </c:pt>
                <c:pt idx="4">
                  <c:v>1408.97</c:v>
                </c:pt>
                <c:pt idx="5">
                  <c:v>622.68</c:v>
                </c:pt>
                <c:pt idx="6">
                  <c:v>547.5</c:v>
                </c:pt>
                <c:pt idx="7">
                  <c:v>391.48</c:v>
                </c:pt>
                <c:pt idx="8">
                  <c:v>202.11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rgbClr val="D9D9D9"/>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Sheet3!$B$1</c:f>
              <c:strCache>
                <c:ptCount val="1"/>
                <c:pt idx="0">
                  <c:v>市值（亿元）（2023-04-30）</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Sheet3!$A$2:$A$11</c:f>
              <c:strCache>
                <c:ptCount val="10"/>
                <c:pt idx="0">
                  <c:v>牧原股份</c:v>
                </c:pt>
                <c:pt idx="1">
                  <c:v>洛阳钼业</c:v>
                </c:pt>
                <c:pt idx="2">
                  <c:v>中航光电</c:v>
                </c:pt>
                <c:pt idx="3">
                  <c:v>双汇发展</c:v>
                </c:pt>
                <c:pt idx="4">
                  <c:v>华兰生物</c:v>
                </c:pt>
                <c:pt idx="5">
                  <c:v>龙佰集团</c:v>
                </c:pt>
                <c:pt idx="6">
                  <c:v>神火股份</c:v>
                </c:pt>
                <c:pt idx="7">
                  <c:v>安图生物</c:v>
                </c:pt>
                <c:pt idx="8">
                  <c:v>宇通客车</c:v>
                </c:pt>
                <c:pt idx="9">
                  <c:v>郑煤机</c:v>
                </c:pt>
              </c:strCache>
            </c:strRef>
          </c:cat>
          <c:val>
            <c:numRef>
              <c:f>Sheet3!$B$2:$B$11</c:f>
              <c:numCache>
                <c:formatCode>General</c:formatCode>
                <c:ptCount val="10"/>
                <c:pt idx="0">
                  <c:v>2618.38</c:v>
                </c:pt>
                <c:pt idx="1">
                  <c:v>1287.31</c:v>
                </c:pt>
                <c:pt idx="2">
                  <c:v>895.8</c:v>
                </c:pt>
                <c:pt idx="3">
                  <c:v>864.43</c:v>
                </c:pt>
                <c:pt idx="4">
                  <c:v>424.71</c:v>
                </c:pt>
                <c:pt idx="5">
                  <c:v>413.82</c:v>
                </c:pt>
                <c:pt idx="6">
                  <c:v>366.91</c:v>
                </c:pt>
                <c:pt idx="7">
                  <c:v>335.52</c:v>
                </c:pt>
                <c:pt idx="8">
                  <c:v>299.1</c:v>
                </c:pt>
                <c:pt idx="9">
                  <c:v>253.08</c:v>
                </c:pt>
              </c:numCache>
            </c:numRef>
          </c:val>
        </c:ser>
        <c:dLbls>
          <c:showLegendKey val="0"/>
          <c:showVal val="1"/>
          <c:showCatName val="0"/>
          <c:showSerName val="0"/>
          <c:showPercent val="0"/>
          <c:showBubbleSize val="0"/>
        </c:dLbls>
        <c:gapWidth val="75"/>
        <c:axId val="197067424"/>
        <c:axId val="197065792"/>
      </c:barChart>
      <c:catAx>
        <c:axId val="1970674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5792"/>
        <c:crosses val="autoZero"/>
        <c:auto val="1"/>
        <c:lblAlgn val="ctr"/>
        <c:lblOffset val="100"/>
        <c:noMultiLvlLbl val="0"/>
      </c:catAx>
      <c:valAx>
        <c:axId val="197065792"/>
        <c:scaling>
          <c:orientation val="minMax"/>
          <c:max val="2900"/>
        </c:scaling>
        <c:delete val="0"/>
        <c:axPos val="l"/>
        <c:majorGridlines>
          <c:spPr>
            <a:ln w="9525" cap="flat" cmpd="sng" algn="ctr">
              <a:noFill/>
              <a:prstDash val="solid"/>
              <a:round/>
            </a:ln>
          </c:spPr>
        </c:majorGridlines>
        <c:numFmt formatCode="#,##0.00_);[Red]\(#,##0.00\)"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7424"/>
        <c:crosses val="autoZero"/>
        <c:crossBetween val="between"/>
        <c:majorUnit val="725"/>
      </c:valAx>
      <c:spPr>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月成交额（亿元）</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Sheet1!$A$2:$A$11</c:f>
              <c:strCache>
                <c:ptCount val="10"/>
                <c:pt idx="0">
                  <c:v>牧原股份</c:v>
                </c:pt>
                <c:pt idx="1">
                  <c:v>洛阳钼业</c:v>
                </c:pt>
                <c:pt idx="2">
                  <c:v>仕佳光子</c:v>
                </c:pt>
                <c:pt idx="3">
                  <c:v>神火股份</c:v>
                </c:pt>
                <c:pt idx="4">
                  <c:v>宇通客车</c:v>
                </c:pt>
                <c:pt idx="5">
                  <c:v>新开普</c:v>
                </c:pt>
                <c:pt idx="6">
                  <c:v>许继电气</c:v>
                </c:pt>
                <c:pt idx="7">
                  <c:v>华兰生物</c:v>
                </c:pt>
                <c:pt idx="8">
                  <c:v>中原传媒</c:v>
                </c:pt>
                <c:pt idx="9">
                  <c:v>多氟多</c:v>
                </c:pt>
              </c:strCache>
            </c:strRef>
          </c:cat>
          <c:val>
            <c:numRef>
              <c:f>Sheet1!$B$2:$B$11</c:f>
              <c:numCache>
                <c:formatCode>###,###,###,##0.0000</c:formatCode>
                <c:ptCount val="10"/>
                <c:pt idx="0">
                  <c:v>247.5</c:v>
                </c:pt>
                <c:pt idx="1">
                  <c:v>214.71</c:v>
                </c:pt>
                <c:pt idx="2">
                  <c:v>137.49</c:v>
                </c:pt>
                <c:pt idx="3">
                  <c:v>124.56</c:v>
                </c:pt>
                <c:pt idx="4">
                  <c:v>92.67</c:v>
                </c:pt>
                <c:pt idx="5">
                  <c:v>85.16</c:v>
                </c:pt>
                <c:pt idx="6">
                  <c:v>83.15</c:v>
                </c:pt>
                <c:pt idx="7">
                  <c:v>82.56</c:v>
                </c:pt>
                <c:pt idx="8">
                  <c:v>82.45</c:v>
                </c:pt>
                <c:pt idx="9">
                  <c:v>78.51</c:v>
                </c:pt>
              </c:numCache>
            </c:numRef>
          </c:val>
        </c:ser>
        <c:dLbls>
          <c:showLegendKey val="0"/>
          <c:showVal val="1"/>
          <c:showCatName val="0"/>
          <c:showSerName val="0"/>
          <c:showPercent val="0"/>
          <c:showBubbleSize val="0"/>
        </c:dLbls>
        <c:gapWidth val="75"/>
        <c:axId val="121946672"/>
        <c:axId val="121939600"/>
      </c:barChart>
      <c:catAx>
        <c:axId val="1219466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39600"/>
        <c:crosses val="autoZero"/>
        <c:auto val="1"/>
        <c:lblAlgn val="ctr"/>
        <c:lblOffset val="100"/>
        <c:noMultiLvlLbl val="0"/>
      </c:catAx>
      <c:valAx>
        <c:axId val="121939600"/>
        <c:scaling>
          <c:orientation val="minMax"/>
          <c:max val="260"/>
        </c:scaling>
        <c:delete val="0"/>
        <c:axPos val="l"/>
        <c:numFmt formatCode="#,##0.00_);[Red]\(#,##0.00\)"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65"/>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25</Pages>
  <Words>13310</Words>
  <Characters>18039</Characters>
  <Lines>137</Lines>
  <Paragraphs>38</Paragraphs>
  <TotalTime>4</TotalTime>
  <ScaleCrop>false</ScaleCrop>
  <LinksUpToDate>false</LinksUpToDate>
  <CharactersWithSpaces>18119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2023-05-10T03:18:00Z</dcterms:created>
  <dc:creator>Annie</dc:creator>
  <cp:lastModifiedBy>北乔峰</cp:lastModifiedBy>
  <cp:lastPrinted>2019-03-05T08:32:00Z</cp:lastPrinted>
  <dcterms:modified xsi:type="dcterms:W3CDTF">2023-05-11T08:29:24Z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9509D42BAD6547B693BD95FEF6C511ED_13</vt:lpwstr>
  </property>
</Properties>
</file>