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pPr>
      <w:r>
        <w:rPr>
          <w:rFonts w:ascii="华文中宋" w:hAnsi="华文中宋" w:eastAsia="华文中宋" w:cs="Arial"/>
          <w:b/>
          <w:sz w:val="40"/>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中宋" w:hAnsi="华文中宋" w:eastAsia="华文中宋" w:cs="Arial"/>
          <w:b/>
          <w:sz w:val="40"/>
          <w:szCs w:val="28"/>
        </w:rPr>
        <w:instrText xml:space="preserve">ADDIN CNKISM.UserStyle</w:instrText>
      </w:r>
      <w:r>
        <w:rPr>
          <w:rFonts w:ascii="华文中宋" w:hAnsi="华文中宋" w:eastAsia="华文中宋" w:cs="Arial"/>
          <w:b/>
          <w:sz w:val="40"/>
          <w:szCs w:val="28"/>
        </w:rPr>
        <w:fldChar w:fldCharType="end"/>
      </w:r>
      <w:r>
        <w:rPr>
          <w:rFonts w:hint="eastAsia" w:ascii="华文中宋" w:hAnsi="华文中宋" w:eastAsia="华文中宋" w:cs="Arial"/>
          <w:b/>
          <w:sz w:val="40"/>
          <w:szCs w:val="28"/>
        </w:rPr>
        <w:t>河南辖区上市公司</w:t>
      </w:r>
      <w:r>
        <w:rPr>
          <w:rFonts w:ascii="华文中宋" w:hAnsi="华文中宋" w:eastAsia="华文中宋" w:cs="Arial"/>
          <w:b/>
          <w:sz w:val="40"/>
          <w:szCs w:val="28"/>
        </w:rPr>
        <w:t>5月</w:t>
      </w:r>
      <w:r>
        <w:rPr>
          <w:rFonts w:hint="eastAsia" w:ascii="华文中宋" w:hAnsi="华文中宋" w:eastAsia="华文中宋" w:cs="Arial"/>
          <w:b/>
          <w:sz w:val="40"/>
          <w:szCs w:val="28"/>
        </w:rPr>
        <w:t>市场动态</w:t>
      </w:r>
    </w:p>
    <w:p>
      <w:pPr>
        <w:spacing w:after="156" w:afterLines="50" w:line="360" w:lineRule="auto"/>
        <w:ind w:firstLine="560" w:firstLineChars="200"/>
        <w:rPr>
          <w:rFonts w:ascii="仿宋" w:hAnsi="仿宋" w:eastAsia="仿宋"/>
          <w:sz w:val="28"/>
        </w:rPr>
      </w:pPr>
      <w:r>
        <w:rPr>
          <w:rFonts w:hint="eastAsia" w:ascii="仿宋" w:hAnsi="仿宋" w:eastAsia="仿宋"/>
          <w:sz w:val="28"/>
        </w:rPr>
        <w:t>河南上市公司协会联合上海信公科技集团股份有限公司，就河南辖区上市公司2023年</w:t>
      </w:r>
      <w:r>
        <w:rPr>
          <w:rFonts w:hint="eastAsia" w:ascii="仿宋" w:hAnsi="仿宋" w:eastAsia="仿宋"/>
          <w:sz w:val="28"/>
          <w:lang w:val="en-US" w:eastAsia="zh-CN"/>
        </w:rPr>
        <w:t>4</w:t>
      </w:r>
      <w:r>
        <w:rPr>
          <w:rFonts w:hint="eastAsia" w:ascii="仿宋" w:hAnsi="仿宋" w:eastAsia="仿宋"/>
          <w:sz w:val="28"/>
        </w:rPr>
        <w:t>月份市场表现及公开披露的相关信息进行归纳总结、对比分析，具体如下：</w:t>
      </w:r>
      <w:bookmarkStart w:id="0" w:name="_GoBack"/>
      <w:bookmarkEnd w:id="0"/>
    </w:p>
    <w:p>
      <w:pPr>
        <w:spacing w:after="156" w:afterLines="50" w:line="360" w:lineRule="auto"/>
        <w:rPr>
          <w:rFonts w:ascii="仿宋" w:hAnsi="仿宋" w:eastAsia="仿宋"/>
          <w:b/>
          <w:sz w:val="28"/>
        </w:rPr>
      </w:pPr>
      <w:r>
        <w:rPr>
          <w:rFonts w:hint="eastAsia" w:ascii="仿宋" w:hAnsi="仿宋" w:eastAsia="仿宋"/>
          <w:b/>
          <w:sz w:val="28"/>
        </w:rPr>
        <w:t>一、五</w:t>
      </w:r>
      <w:r>
        <w:rPr>
          <w:rFonts w:ascii="仿宋" w:hAnsi="仿宋" w:eastAsia="仿宋"/>
          <w:b/>
          <w:sz w:val="28"/>
        </w:rPr>
        <w:t>月</w:t>
      </w:r>
      <w:r>
        <w:rPr>
          <w:rFonts w:hint="eastAsia" w:ascii="仿宋" w:hAnsi="仿宋" w:eastAsia="仿宋"/>
          <w:b/>
          <w:sz w:val="28"/>
        </w:rPr>
        <w:t>国内重要财经新闻浏览</w:t>
      </w:r>
    </w:p>
    <w:p>
      <w:pPr>
        <w:widowControl/>
        <w:ind w:firstLine="562" w:firstLineChars="200"/>
        <w:rPr>
          <w:rFonts w:ascii="仿宋" w:hAnsi="仿宋" w:eastAsia="仿宋" w:cs="仿宋"/>
          <w:bCs/>
          <w:sz w:val="28"/>
          <w:szCs w:val="28"/>
        </w:rPr>
      </w:pPr>
      <w:r>
        <w:rPr>
          <w:rFonts w:hint="eastAsia" w:ascii="仿宋" w:hAnsi="仿宋" w:eastAsia="仿宋" w:cs="仿宋"/>
          <w:b/>
          <w:sz w:val="28"/>
          <w:szCs w:val="28"/>
        </w:rPr>
        <w:t>1</w:t>
      </w:r>
      <w:r>
        <w:rPr>
          <w:rFonts w:ascii="仿宋" w:hAnsi="仿宋" w:eastAsia="仿宋" w:cs="仿宋"/>
          <w:b/>
          <w:sz w:val="28"/>
          <w:szCs w:val="28"/>
        </w:rPr>
        <w:t>.</w:t>
      </w:r>
      <w:r>
        <w:rPr>
          <w:rFonts w:hint="eastAsia" w:ascii="仿宋" w:hAnsi="仿宋" w:eastAsia="仿宋" w:cs="仿宋"/>
          <w:b/>
          <w:sz w:val="28"/>
          <w:szCs w:val="28"/>
        </w:rPr>
        <w:t>国资委：</w:t>
      </w:r>
      <w:r>
        <w:rPr>
          <w:rFonts w:hint="eastAsia" w:ascii="仿宋" w:hAnsi="仿宋" w:eastAsia="仿宋" w:cs="仿宋"/>
          <w:b/>
          <w:bCs/>
          <w:sz w:val="28"/>
          <w:szCs w:val="28"/>
        </w:rPr>
        <w:t>指导推动中央企业加大在新一代信息技术、人工智能、集成电路、工业母机等战略性新兴产业布局力度。</w:t>
      </w:r>
      <w:r>
        <w:rPr>
          <w:rFonts w:hint="eastAsia" w:ascii="仿宋" w:hAnsi="仿宋" w:eastAsia="仿宋" w:cs="仿宋"/>
          <w:bCs/>
          <w:sz w:val="28"/>
          <w:szCs w:val="28"/>
        </w:rPr>
        <w:t>5月11日，国资委党委召开扩大会议，会议强调，要持续深化国企改革，不断提高企业核心竞争力、增强核心功能，切实发挥央企在建设现代化产业体系、构建新发展格局中的科技创新、产业控制、安全支撑作用。要坚决扛起国资央企在建设现代化产业体系中的职责使命，聚焦主业、做强实业，补齐产业链供应链关键短板，更好服务实体经济高质量发展。要指导推动中央企业加大在新一代信息技术、人工智能、集成电路、工业母机等战略性新兴产业布局力度，推动传统产业数字化、智能化、绿色化转型升级，引领带动我国产业体系加快向产业链、价值链高端迈进。要强化顶层设计，增强国资监管工作协同和政策协同，抓紧优化考核、薪酬、主责主业、投融资等监管政策，打好组合拳，为中央企业更好服务支撑现代化产业体系建设提供有力保障。</w:t>
      </w:r>
    </w:p>
    <w:p>
      <w:pPr>
        <w:widowControl/>
        <w:ind w:firstLine="562" w:firstLineChars="200"/>
        <w:rPr>
          <w:rFonts w:ascii="仿宋" w:hAnsi="仿宋" w:eastAsia="仿宋" w:cs="仿宋"/>
          <w:bCs/>
          <w:sz w:val="28"/>
          <w:szCs w:val="28"/>
        </w:rPr>
      </w:pPr>
      <w:r>
        <w:rPr>
          <w:rFonts w:hint="eastAsia" w:ascii="仿宋" w:hAnsi="仿宋" w:eastAsia="仿宋" w:cs="仿宋"/>
          <w:b/>
          <w:sz w:val="28"/>
          <w:szCs w:val="28"/>
        </w:rPr>
        <w:t>2</w:t>
      </w:r>
      <w:r>
        <w:rPr>
          <w:rFonts w:ascii="仿宋" w:hAnsi="仿宋" w:eastAsia="仿宋" w:cs="仿宋"/>
          <w:b/>
          <w:sz w:val="28"/>
          <w:szCs w:val="28"/>
        </w:rPr>
        <w:t>.</w:t>
      </w:r>
      <w:r>
        <w:rPr>
          <w:rFonts w:hint="eastAsia" w:ascii="仿宋" w:hAnsi="仿宋" w:eastAsia="仿宋" w:cs="仿宋"/>
          <w:b/>
          <w:sz w:val="28"/>
          <w:szCs w:val="28"/>
        </w:rPr>
        <w:t>财政部：</w:t>
      </w:r>
      <w:r>
        <w:rPr>
          <w:rFonts w:hint="eastAsia" w:ascii="仿宋" w:hAnsi="仿宋" w:eastAsia="仿宋" w:cs="仿宋"/>
          <w:b/>
          <w:bCs/>
          <w:sz w:val="28"/>
          <w:szCs w:val="28"/>
        </w:rPr>
        <w:t>大力推进数字乡村建设 拓展农业农村大数据应用场景。</w:t>
      </w:r>
      <w:r>
        <w:rPr>
          <w:rFonts w:hint="eastAsia" w:ascii="仿宋" w:hAnsi="仿宋" w:eastAsia="仿宋" w:cs="仿宋"/>
          <w:bCs/>
          <w:sz w:val="28"/>
          <w:szCs w:val="28"/>
        </w:rPr>
        <w:t>财政部发布关于做好2023年农村综合性改革试点试验有关工作的通知，创新数字乡村发展机制。发挥新一代信息技术创新引领作用，大力推进数字乡村建设，推动数字技术与发展乡村实体经济、构建乡村治理体系加速融合，着眼解决实际问题，拓展农业农村大数据应用场景。加强“互联网+农业”建设，推动云计算、大数据、物联网、区块链、北斗终端、多光谱、人工智能技术等新一代信息技术和科技产品深度融合应用，加快推动传统产业数字化、智能化转型，探索乡村数字经济新业态。以数字技术赋能乡村公共服务，完善农民生活服务体系，构建线上线下相结合的乡村便民服务机制，提高乡村治理智能化、精细化、专业化水平。注重网络安全、数据安全。</w:t>
      </w:r>
    </w:p>
    <w:p>
      <w:pPr>
        <w:widowControl/>
        <w:ind w:firstLine="562" w:firstLineChars="200"/>
        <w:rPr>
          <w:rFonts w:ascii="仿宋" w:hAnsi="仿宋" w:eastAsia="仿宋" w:cs="仿宋"/>
          <w:bCs/>
          <w:sz w:val="28"/>
          <w:szCs w:val="28"/>
        </w:rPr>
      </w:pPr>
      <w:r>
        <w:rPr>
          <w:rFonts w:ascii="仿宋" w:hAnsi="仿宋" w:eastAsia="仿宋" w:cs="仿宋"/>
          <w:b/>
          <w:bCs/>
          <w:sz w:val="28"/>
          <w:szCs w:val="28"/>
        </w:rPr>
        <w:t>3.</w:t>
      </w:r>
      <w:r>
        <w:rPr>
          <w:rFonts w:hint="eastAsia" w:ascii="仿宋" w:hAnsi="仿宋" w:eastAsia="仿宋" w:cs="仿宋"/>
          <w:b/>
          <w:sz w:val="28"/>
          <w:szCs w:val="28"/>
        </w:rPr>
        <w:t>商务部：促进内外贸一体化发展部际工作机制第二次全体会议在京召开。</w:t>
      </w:r>
      <w:r>
        <w:rPr>
          <w:rFonts w:hint="eastAsia" w:ascii="仿宋" w:hAnsi="仿宋" w:eastAsia="仿宋" w:cs="仿宋"/>
          <w:sz w:val="28"/>
          <w:szCs w:val="28"/>
        </w:rPr>
        <w:t>机制副召集人、商务部副部长盛秋平出席会议并讲话。会议要求，各成员单位要围绕总体目标和年度任务，重点做好三方面工作：一是推动内外贸制度规则衔接，健全法律法规，完善监管体制，加强规则对接，促进标准认证衔接，推进同线同标同质。二是提升内外贸一体化发展能力，强化示范带动，创新发展模式，发挥数字化引领，拓展对接渠道，推动产业融合。三是优化内外贸一体化发展环境，完善物流网络，加快人才培养，加大政策支持力度。</w:t>
      </w:r>
    </w:p>
    <w:p>
      <w:pPr>
        <w:widowControl/>
        <w:ind w:firstLine="562" w:firstLineChars="200"/>
        <w:rPr>
          <w:rFonts w:ascii="仿宋" w:hAnsi="仿宋" w:eastAsia="仿宋" w:cs="仿宋"/>
          <w:bCs/>
          <w:sz w:val="28"/>
          <w:szCs w:val="28"/>
        </w:rPr>
      </w:pPr>
      <w:r>
        <w:rPr>
          <w:rFonts w:ascii="仿宋" w:hAnsi="仿宋" w:eastAsia="仿宋" w:cs="仿宋"/>
          <w:b/>
          <w:bCs/>
          <w:sz w:val="28"/>
          <w:szCs w:val="28"/>
        </w:rPr>
        <w:t>4.</w:t>
      </w:r>
      <w:r>
        <w:rPr>
          <w:rFonts w:hint="eastAsia" w:ascii="仿宋" w:hAnsi="仿宋" w:eastAsia="仿宋" w:cs="仿宋"/>
          <w:b/>
          <w:sz w:val="28"/>
          <w:szCs w:val="28"/>
        </w:rPr>
        <w:t>央行：</w:t>
      </w:r>
      <w:r>
        <w:rPr>
          <w:rFonts w:hint="eastAsia" w:ascii="仿宋" w:hAnsi="仿宋" w:eastAsia="仿宋" w:cs="仿宋"/>
          <w:b/>
          <w:bCs/>
          <w:sz w:val="28"/>
          <w:szCs w:val="28"/>
        </w:rPr>
        <w:t>支持刚性和改善性住房需求 加快完善住房租赁金融政策体系。</w:t>
      </w:r>
      <w:r>
        <w:rPr>
          <w:rFonts w:hint="eastAsia" w:ascii="仿宋" w:hAnsi="仿宋" w:eastAsia="仿宋" w:cs="仿宋"/>
          <w:bCs/>
          <w:sz w:val="28"/>
          <w:szCs w:val="28"/>
        </w:rPr>
        <w:t>央行发布第一季度中国货币政策执行报告：下一阶段，牢牢坚持房子是用来住的、不是用来炒的定位，坚持不将房地产作为短期刺激经济的手段，坚持稳地价、稳房价、稳预期，稳妥实施房地产金融审慎管理制度，扎实做好保交楼、保民生、保稳定各项工作，满足行业合理融资需求，推动行业重组并购，有效防范化解优质头部房企风险，改善资产负债状况，因城施策，支持刚性和改善性住房需求，加快完善住房租赁金融政策体系，促进房地产市场平稳健康发展，推动建立房地产业发展新模式。</w:t>
      </w:r>
    </w:p>
    <w:p>
      <w:pPr>
        <w:widowControl/>
        <w:ind w:firstLine="562" w:firstLineChars="200"/>
        <w:rPr>
          <w:rFonts w:ascii="仿宋" w:hAnsi="仿宋" w:eastAsia="仿宋" w:cs="仿宋"/>
          <w:bCs/>
          <w:sz w:val="28"/>
          <w:szCs w:val="28"/>
        </w:rPr>
      </w:pPr>
      <w:r>
        <w:rPr>
          <w:rFonts w:ascii="仿宋" w:hAnsi="仿宋" w:eastAsia="仿宋" w:cs="仿宋"/>
          <w:b/>
          <w:bCs/>
          <w:sz w:val="28"/>
          <w:szCs w:val="28"/>
        </w:rPr>
        <w:t>5.</w:t>
      </w:r>
      <w:r>
        <w:rPr>
          <w:rFonts w:hint="eastAsia" w:ascii="仿宋" w:hAnsi="仿宋" w:eastAsia="仿宋" w:cs="仿宋"/>
          <w:b/>
          <w:sz w:val="28"/>
          <w:szCs w:val="28"/>
        </w:rPr>
        <w:t>证监会：</w:t>
      </w:r>
      <w:r>
        <w:rPr>
          <w:rFonts w:hint="eastAsia" w:ascii="仿宋" w:hAnsi="仿宋" w:eastAsia="仿宋" w:cs="仿宋"/>
          <w:b/>
          <w:bCs/>
          <w:sz w:val="28"/>
          <w:szCs w:val="28"/>
        </w:rPr>
        <w:t>积极开展提高上市公司质量专项行动。</w:t>
      </w:r>
      <w:r>
        <w:rPr>
          <w:rFonts w:hint="eastAsia" w:ascii="仿宋" w:hAnsi="仿宋" w:eastAsia="仿宋" w:cs="仿宋"/>
          <w:bCs/>
          <w:sz w:val="28"/>
          <w:szCs w:val="28"/>
        </w:rPr>
        <w:t>证监会非上市公众公司监管部主任鲁颂宾在“第五届西城区企业上市主题交流活动”上表示，加快高质量上市公司供给按照质优、量适、步稳的要求，常态化推进北交所市场高质量扩容，夯实市场良性发展和流动性改善基础，坚持市场化的发展方向，持续优化发行上市制度，着眼于降低企业上市成本和等待时间，既用好用足现有制度，优化辅导监管等要求，又研究吸引更多能够支撑市场深度、体现市场优势、具有品牌效应的企业到北交所上市的路径，积极开展提高上市公司质量专项行动。</w:t>
      </w:r>
    </w:p>
    <w:p>
      <w:pPr>
        <w:widowControl/>
        <w:rPr>
          <w:rFonts w:ascii="仿宋" w:hAnsi="仿宋" w:eastAsia="仿宋" w:cs="仿宋"/>
          <w:b/>
          <w:bCs/>
          <w:sz w:val="28"/>
          <w:szCs w:val="28"/>
        </w:rPr>
      </w:pPr>
      <w:r>
        <w:rPr>
          <w:rFonts w:hint="eastAsia" w:ascii="仿宋" w:hAnsi="仿宋" w:eastAsia="仿宋" w:cs="仿宋"/>
          <w:b/>
          <w:bCs/>
          <w:sz w:val="28"/>
          <w:szCs w:val="28"/>
        </w:rPr>
        <w:t>二、五月券商行业研究情况浏览</w:t>
      </w:r>
    </w:p>
    <w:p>
      <w:pPr>
        <w:ind w:firstLine="562" w:firstLineChars="200"/>
        <w:rPr>
          <w:rFonts w:ascii="仿宋" w:hAnsi="仿宋" w:eastAsia="仿宋" w:cs="仿宋"/>
          <w:b/>
          <w:bCs/>
          <w:color w:val="333333"/>
          <w:kern w:val="0"/>
          <w:sz w:val="28"/>
          <w:szCs w:val="28"/>
          <w:shd w:val="clear" w:color="auto" w:fill="FFFFFF"/>
        </w:rPr>
      </w:pPr>
      <w:r>
        <w:rPr>
          <w:rFonts w:hint="eastAsia" w:ascii="仿宋" w:hAnsi="仿宋" w:eastAsia="仿宋" w:cs="仿宋"/>
          <w:b/>
          <w:bCs/>
          <w:color w:val="333333"/>
          <w:sz w:val="28"/>
          <w:szCs w:val="28"/>
          <w:shd w:val="clear" w:color="auto" w:fill="FFFFFF"/>
        </w:rPr>
        <w:t>1</w:t>
      </w:r>
      <w:r>
        <w:rPr>
          <w:rFonts w:ascii="仿宋" w:hAnsi="仿宋" w:eastAsia="仿宋" w:cs="仿宋"/>
          <w:b/>
          <w:bCs/>
          <w:color w:val="333333"/>
          <w:sz w:val="28"/>
          <w:szCs w:val="28"/>
          <w:shd w:val="clear" w:color="auto" w:fill="FFFFFF"/>
        </w:rPr>
        <w:t>.</w:t>
      </w:r>
      <w:r>
        <w:rPr>
          <w:rFonts w:hint="eastAsia"/>
        </w:rPr>
        <w:t xml:space="preserve"> </w:t>
      </w:r>
      <w:r>
        <w:rPr>
          <w:rFonts w:hint="eastAsia" w:ascii="仿宋" w:hAnsi="仿宋" w:eastAsia="仿宋" w:cs="仿宋"/>
          <w:b/>
          <w:bCs/>
          <w:color w:val="333333"/>
          <w:kern w:val="0"/>
          <w:sz w:val="28"/>
          <w:szCs w:val="28"/>
          <w:shd w:val="clear" w:color="auto" w:fill="FFFFFF"/>
        </w:rPr>
        <w:t>船舶，受益行业景气上行、一带一路、中特估——国防军工</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船舶行业：处于中长期底部区域，未来进入新一轮上周周期。订单进入上行周期。上一轮周期从2003年开始，2006-2007年新船订单达到高点。按照船舶15-20年寿命估算，2023-2026年将迎来新一轮新船订单高峰。箱船订单开启，后续油轮、干散、气体船等需求向上；供求紧张，驱动船价进入上行周期。民船：箱船订单开启、油轮干散接力，置换为主、新增及环保共同驱动行业进入上行的景气周期需求持续上行：1）产业链传导模式：集装箱运价上涨—箱船船东大幅盈利—箱船船东资债表改善---上游造船业大幅下单；同理，油轮因航线拉长、环保降速促油轮需求提升，导致运价上涨，船东盈利后加速下单；后期干散货船作为存量最大的一种主力船型，受制于产能船位有限，存在抢占产能而提前加速下单的预期，行业指数有望持续上涨。</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供给现状：1）供给收缩：与上一轮周期相比，供给端大幅出清，产能持续向中韩转移，向头部企业转移，尾部产能显著出清，集中度提升；中国占全球造船业份额从上一轮周期约15%提升至本轮约50%；2）行业不断向头部集中（近十年CR10从40%提升至70%）；3）扩产周期长，新增供给难度大，龙头公司2023-2027年业绩确定性强。打造“中国特色估值体系”，船舶央企受益一带一路、中特估中国船舶集团与法国达飞海运集团协议金额达210多亿元，创下了中国造船业一次性签约集装箱船最大金额的新纪录；市场持续打造“中国特色估值体系”，船舶制造央企随着盈利能力正逐渐进入上升区间，率先受益于“一带一路”、“中特估”。军船：“内生”中国蓝军建设装备大发展，“外延”资产整合打开发展天花板内需：我国海军由近海防御向远洋护卫持续转型，打造先进舰队是建设强大海军的基础保障。公司作为我国军用船舶最重要制造基地之一，有望持续受益于海军现代化建设；外贸：海军舰船出口预期乐观，看好军贸长期发展空间。</w:t>
      </w:r>
    </w:p>
    <w:p>
      <w:pPr>
        <w:pStyle w:val="7"/>
        <w:spacing w:before="156" w:beforeLines="50" w:beforeAutospacing="0" w:after="156" w:afterLines="50" w:afterAutospacing="0" w:line="360" w:lineRule="auto"/>
        <w:ind w:firstLine="210" w:firstLineChars="100"/>
        <w:jc w:val="right"/>
        <w:rPr>
          <w:rFonts w:ascii="微软雅黑" w:hAnsi="微软雅黑" w:eastAsia="微软雅黑" w:cs="Calibri"/>
          <w:color w:val="A6A6A6" w:themeColor="background1" w:themeShade="A6"/>
          <w:sz w:val="21"/>
          <w:szCs w:val="21"/>
        </w:rPr>
      </w:pPr>
      <w:r>
        <w:rPr>
          <w:rFonts w:hint="eastAsia" w:ascii="微软雅黑" w:hAnsi="微软雅黑" w:eastAsia="微软雅黑" w:cs="Calibri"/>
          <w:color w:val="A6A6A6" w:themeColor="background1" w:themeShade="A6"/>
          <w:sz w:val="21"/>
          <w:szCs w:val="21"/>
        </w:rPr>
        <w:t>（内容来源：浙商证券股份有限公司202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olor w:val="999999"/>
          <w:sz w:val="21"/>
          <w:szCs w:val="21"/>
          <w:shd w:val="clear" w:color="auto" w:fill="FFFFFF"/>
        </w:rPr>
        <w:t>05</w:t>
      </w:r>
      <w:r>
        <w:rPr>
          <w:rFonts w:hint="eastAsia" w:ascii="微软雅黑" w:hAnsi="微软雅黑" w:eastAsia="微软雅黑"/>
          <w:color w:val="999999"/>
          <w:sz w:val="21"/>
          <w:szCs w:val="21"/>
          <w:shd w:val="clear" w:color="auto" w:fill="FFFFFF"/>
        </w:rPr>
        <w:t>-</w:t>
      </w:r>
      <w:r>
        <w:rPr>
          <w:rFonts w:ascii="微软雅黑" w:hAnsi="微软雅黑" w:eastAsia="微软雅黑"/>
          <w:color w:val="999999"/>
          <w:sz w:val="21"/>
          <w:szCs w:val="21"/>
          <w:shd w:val="clear" w:color="auto" w:fill="FFFFFF"/>
        </w:rPr>
        <w:t>21</w:t>
      </w:r>
      <w:r>
        <w:rPr>
          <w:rFonts w:hint="eastAsia" w:ascii="微软雅黑" w:hAnsi="微软雅黑" w:eastAsia="微软雅黑" w:cs="Calibri"/>
          <w:color w:val="A6A6A6" w:themeColor="background1" w:themeShade="A6"/>
          <w:sz w:val="21"/>
          <w:szCs w:val="21"/>
        </w:rPr>
        <w:t>）</w:t>
      </w:r>
    </w:p>
    <w:p>
      <w:pPr>
        <w:ind w:firstLine="562" w:firstLineChars="200"/>
        <w:rPr>
          <w:rFonts w:ascii="仿宋" w:hAnsi="仿宋" w:eastAsia="仿宋" w:cs="仿宋"/>
          <w:color w:val="333333"/>
          <w:kern w:val="0"/>
          <w:sz w:val="28"/>
          <w:szCs w:val="28"/>
          <w:shd w:val="clear" w:color="auto" w:fill="FFFFFF"/>
        </w:rPr>
      </w:pPr>
      <w:r>
        <w:rPr>
          <w:rFonts w:hint="eastAsia" w:ascii="仿宋" w:hAnsi="仿宋" w:eastAsia="仿宋" w:cs="仿宋"/>
          <w:b/>
          <w:bCs/>
          <w:color w:val="333333"/>
          <w:sz w:val="28"/>
          <w:szCs w:val="28"/>
          <w:shd w:val="clear" w:color="auto" w:fill="FFFFFF"/>
        </w:rPr>
        <w:t>2.</w:t>
      </w:r>
      <w:r>
        <w:rPr>
          <w:rFonts w:hint="eastAsia"/>
        </w:rPr>
        <w:t xml:space="preserve"> </w:t>
      </w:r>
      <w:r>
        <w:rPr>
          <w:rFonts w:hint="eastAsia" w:ascii="仿宋" w:hAnsi="仿宋" w:eastAsia="仿宋" w:cs="仿宋"/>
          <w:b/>
          <w:bCs/>
          <w:color w:val="333333"/>
          <w:kern w:val="0"/>
          <w:sz w:val="28"/>
          <w:szCs w:val="28"/>
          <w:shd w:val="clear" w:color="auto" w:fill="FFFFFF"/>
        </w:rPr>
        <w:t>国企改革持续推进，中药国企迎来新的发展机遇——医药生物</w:t>
      </w:r>
    </w:p>
    <w:p>
      <w:pPr>
        <w:ind w:firstLine="560" w:firstLineChars="200"/>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我们看好国资背景中药企业在改革中基本面持续改善，焕发生机提速增长。从政策面来看，国企改革为国家发展重点，中药行业持续受政策支持，中药国企具有可观的发展空间。从业绩面来看，中药国企收入利润增速平缓稳定，费用端具备优化空间，利润率有望提升。从基本面来看，中药国企拥有的“中华老字号”称号是极为优质的资产，多年积累的行业经验和优秀品质赢得了众多消费者的信任和口碑，拥有中华老字号的中药国企充分具备快速发展的潜力。我们看好中药国企在资产结构、管理、营销的持续优化下提速增长。</w:t>
      </w:r>
    </w:p>
    <w:p>
      <w:pPr>
        <w:ind w:firstLine="560" w:firstLineChars="200"/>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一周观点：神州细胞新冠疫苗SCTV01E完成Ⅲ期临床分析，效果良好5月12日，神州细胞发布公告，已完成新冠疫苗SCTV01EIII期临床研究的最终分析，研究结果显示，在我国奥密克戎（Omicron）BA.5、BF.7和XBB等变异株流行期间，SCTV01E在≥18周岁已完成新冠疫苗基础免疫或加强免疫人群中进行1剂加强免疫后，产生了针对奥密克戎及其各子变异株的良好保护效力，且具有良好的安全性。证实SCTV01E四价新冠疫苗平台具有突出的广谱性优势和应对新冠病毒快速变异、多个不同变异株同时流行的重要性。</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一周观点：2023Q1医药板块稳健增长，实现全面复苏2022年医药板块整体收入增速9.9%、归母净利润增速-5.3%，2023Q1医药板块整体收入增速1.7%，剔除医疗器械板块，2023Q1医药板块归母同比增26.16%。医药整体板块一季度业绩稳健增长，院内外疫后复苏兑现，当前企业生产、订单、销售、服务等回归正常秩序，在疫情和集采之后，细分赛道的竞争格局整体在变好；中药：2023Q1保持较快增长，系行业需求和企业自身改革因素叠加；医疗服务：体检、眼科、康复等之前受损严重的赛道反弹明显，预计二至四季度业绩环比同比持续改善。CXO：企业在手订单较为充裕，整体业绩韧性较好，全年业绩兑现度较高。医疗器械：虽然同期基数较高，但设备类标的贴息贷款、新基建红利落实到业绩，海内外需求恢复，耗材集采后国产替代加速。血制品&amp;疫苗：建议关注浆站数量多，浆站拓展能力强的血制品企业，疫苗板块关注需求端恢复明显，拥有创新疫苗品种的企业。化学制药：建议关注市场空间大、竞争格局好和集采风险低领域。药店：同店恢复正常水平，2023年更应关注个股性价比。</w:t>
      </w:r>
    </w:p>
    <w:p>
      <w:pPr>
        <w:pStyle w:val="7"/>
        <w:spacing w:before="156" w:beforeLines="50" w:beforeAutospacing="0" w:after="156" w:afterLines="50" w:afterAutospacing="0" w:line="360" w:lineRule="auto"/>
        <w:ind w:firstLine="561"/>
        <w:jc w:val="right"/>
        <w:rPr>
          <w:rFonts w:ascii="仿宋" w:hAnsi="仿宋" w:eastAsia="仿宋" w:cs="仿宋"/>
          <w:b/>
          <w:sz w:val="28"/>
          <w:szCs w:val="28"/>
        </w:rPr>
      </w:pPr>
      <w:r>
        <w:rPr>
          <w:rFonts w:hint="eastAsia" w:ascii="微软雅黑" w:hAnsi="微软雅黑" w:eastAsia="微软雅黑" w:cs="Calibri"/>
          <w:color w:val="A6A6A6" w:themeColor="background1" w:themeShade="A6"/>
          <w:sz w:val="21"/>
          <w:szCs w:val="21"/>
        </w:rPr>
        <w:t xml:space="preserve"> （内容来源：开源证券股份有限公司202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05</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14</w:t>
      </w:r>
      <w:r>
        <w:rPr>
          <w:rFonts w:hint="eastAsia" w:ascii="微软雅黑" w:hAnsi="微软雅黑" w:eastAsia="微软雅黑" w:cs="Calibri"/>
          <w:color w:val="A6A6A6" w:themeColor="background1" w:themeShade="A6"/>
          <w:sz w:val="21"/>
          <w:szCs w:val="21"/>
        </w:rPr>
        <w:t>）</w:t>
      </w:r>
    </w:p>
    <w:p>
      <w:pPr>
        <w:ind w:firstLine="562" w:firstLineChars="200"/>
        <w:rPr>
          <w:rFonts w:ascii="仿宋" w:hAnsi="仿宋" w:eastAsia="仿宋" w:cs="仿宋"/>
          <w:b/>
          <w:bCs/>
          <w:color w:val="333333"/>
          <w:kern w:val="0"/>
          <w:sz w:val="28"/>
          <w:szCs w:val="28"/>
          <w:shd w:val="clear" w:color="auto" w:fill="FFFFFF"/>
        </w:rPr>
      </w:pPr>
      <w:r>
        <w:rPr>
          <w:rFonts w:hint="eastAsia" w:ascii="仿宋" w:hAnsi="仿宋" w:eastAsia="仿宋" w:cs="仿宋"/>
          <w:b/>
          <w:bCs/>
          <w:color w:val="333333"/>
          <w:kern w:val="0"/>
          <w:sz w:val="28"/>
          <w:szCs w:val="28"/>
          <w:shd w:val="clear" w:color="auto" w:fill="FFFFFF"/>
        </w:rPr>
        <w:t>3.</w:t>
      </w:r>
      <w:r>
        <w:rPr>
          <w:rFonts w:hint="eastAsia"/>
        </w:rPr>
        <w:t xml:space="preserve"> </w:t>
      </w:r>
      <w:r>
        <w:rPr>
          <w:rFonts w:hint="eastAsia" w:ascii="仿宋" w:hAnsi="仿宋" w:eastAsia="仿宋" w:cs="仿宋"/>
          <w:b/>
          <w:bCs/>
          <w:color w:val="333333"/>
          <w:kern w:val="0"/>
          <w:sz w:val="28"/>
          <w:szCs w:val="28"/>
          <w:shd w:val="clear" w:color="auto" w:fill="FFFFFF"/>
        </w:rPr>
        <w:t>内部分化明显，静待弹性修复——白酒</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整体表现：高端酒强确定性，次高端短期承压，地产酒开门红。1）酒企营收持续增长，吨价提升为主要贡献。2022年全国规模以上白酒企业销售收入6</w:t>
      </w:r>
      <w:r>
        <w:rPr>
          <w:rFonts w:ascii="仿宋" w:hAnsi="仿宋" w:eastAsia="仿宋" w:cs="仿宋"/>
          <w:color w:val="333333"/>
          <w:kern w:val="0"/>
          <w:sz w:val="28"/>
          <w:szCs w:val="28"/>
          <w:shd w:val="clear" w:color="auto" w:fill="FFFFFF"/>
        </w:rPr>
        <w:t>,</w:t>
      </w:r>
      <w:r>
        <w:rPr>
          <w:rFonts w:hint="eastAsia" w:ascii="仿宋" w:hAnsi="仿宋" w:eastAsia="仿宋" w:cs="仿宋"/>
          <w:color w:val="333333"/>
          <w:kern w:val="0"/>
          <w:sz w:val="28"/>
          <w:szCs w:val="28"/>
          <w:shd w:val="clear" w:color="auto" w:fill="FFFFFF"/>
        </w:rPr>
        <w:t>626.45亿元，同增9.64%；吨价为9.87万元/吨，同增17.1%。2）2022年酒企整体显韧性，2023Q1营收现分化。2022年疫情多点散发，消费场景受损，但白酒整体韧性较强，2022年全年收入增速排序：次高端酒＞地产酒＞高端酒，分别为24%/18%/15%。2023Q1随着疫情放开，宴席等消费场景回补明显，终端动销加速恢复，地产酒在区域内获得较好增长，而次高端去年同期高基数且普遍以消化库存为主线，受影响较大，2023Q1收入增速排序：地产酒＞高端酒＞次高端酒，分别为20%/17%/6%。</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盈利能力：费用率总体缩窄，盈利表现显分化。1）费用方面，销售费用率下降为主，2023Q1高端酒/次高端酒/地产酒销售费用率分别同比-0.27pct/-3.20pct/+0.15pct；管理费用率以小幅优化为主，2023Q1高端酒/次高端酒/地产酒管理费用率分别同比-0.76pct/-0.46pct/-0.27pct；营业税金率多数同比提升，2023Q1高端酒/次高端酒/地产酒营业税金率分别同比+0.63pct/+0.12pct/-0.56pct。2）盈利方面，2022年酒企盈利增长稳健，2023Q1次高端盈利承压。2022年全年归母净利增速排序：次高端酒＞地产酒＞高端酒，分别为39%/22%/19%。2023Q1归母净利润增速排序：高端酒＞地产酒＞次高端酒，分别为20%/18%/14%。多数酒企毛利率及净利率提升，盈利能力向好。2023Q1高端酒/次高端酒/地产酒毛利率分别同比+0.91pct/-0.32pct/-0.23pct，净利率分别同比+1.27pct/+2.38pct/-0.40pct。</w:t>
      </w:r>
    </w:p>
    <w:p>
      <w:pPr>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回款情况：合同负债环比下降，现金回款较好。1）合同负债方面，2023Q1末合同负债环比下降，同比多数增长。2023Q1末高端酒/次高端酒/地产酒合同负债分别环比-48.74%/-26.91%/-16.65%，主要系春节旺季发货后大量确认回款所致。2）现金回款方面，2023Q1现金回款获得较好增长，次高端仍承压。2022年末上市酒企现金回款共3720.06亿元（同增7.76%），2023Q1末现金回款共1145.79亿元（同增29.14%），Q1增长明显。2023Q1高端酒/次高端酒/地产酒现金回款分别同比+37.41%/+5.16%/+23.75%，次高端销售回款表现分化，地产酒均呈同比提升态势。</w:t>
      </w:r>
    </w:p>
    <w:p>
      <w:pPr>
        <w:spacing w:before="156" w:beforeLines="50" w:after="156" w:afterLines="50"/>
        <w:jc w:val="right"/>
        <w:rPr>
          <w:rFonts w:ascii="仿宋" w:hAnsi="仿宋" w:eastAsia="仿宋"/>
          <w:b/>
          <w:sz w:val="28"/>
        </w:rPr>
      </w:pPr>
      <w:r>
        <w:rPr>
          <w:rFonts w:hint="eastAsia" w:ascii="仿宋" w:hAnsi="仿宋" w:eastAsia="仿宋" w:cs="仿宋"/>
          <w:color w:val="333333"/>
          <w:sz w:val="28"/>
          <w:szCs w:val="28"/>
          <w:shd w:val="clear" w:color="auto" w:fill="FFFFFF"/>
        </w:rPr>
        <w:t xml:space="preserve">                  </w:t>
      </w:r>
      <w:r>
        <w:rPr>
          <w:rFonts w:hint="eastAsia" w:ascii="微软雅黑" w:hAnsi="微软雅黑" w:eastAsia="微软雅黑" w:cs="Calibri"/>
          <w:color w:val="A6A6A6" w:themeColor="background1" w:themeShade="A6"/>
          <w:szCs w:val="21"/>
        </w:rPr>
        <w:t>（内容来源：华鑫证券有限责任公司202</w:t>
      </w:r>
      <w:r>
        <w:rPr>
          <w:rFonts w:ascii="微软雅黑" w:hAnsi="微软雅黑" w:eastAsia="微软雅黑" w:cs="Calibri"/>
          <w:color w:val="A6A6A6" w:themeColor="background1" w:themeShade="A6"/>
          <w:szCs w:val="21"/>
        </w:rPr>
        <w:t>3</w:t>
      </w:r>
      <w:r>
        <w:rPr>
          <w:rFonts w:hint="eastAsia" w:ascii="微软雅黑" w:hAnsi="微软雅黑" w:eastAsia="微软雅黑" w:cs="Calibri"/>
          <w:color w:val="A6A6A6" w:themeColor="background1" w:themeShade="A6"/>
          <w:szCs w:val="21"/>
        </w:rPr>
        <w:t>-</w:t>
      </w:r>
      <w:r>
        <w:rPr>
          <w:rFonts w:ascii="微软雅黑" w:hAnsi="微软雅黑" w:eastAsia="微软雅黑" w:cs="Calibri"/>
          <w:color w:val="A6A6A6" w:themeColor="background1" w:themeShade="A6"/>
          <w:szCs w:val="21"/>
        </w:rPr>
        <w:t>05</w:t>
      </w:r>
      <w:r>
        <w:rPr>
          <w:rFonts w:hint="eastAsia" w:ascii="微软雅黑" w:hAnsi="微软雅黑" w:eastAsia="微软雅黑" w:cs="Calibri"/>
          <w:color w:val="A6A6A6" w:themeColor="background1" w:themeShade="A6"/>
          <w:szCs w:val="21"/>
        </w:rPr>
        <w:t>-</w:t>
      </w:r>
      <w:r>
        <w:rPr>
          <w:rFonts w:ascii="微软雅黑" w:hAnsi="微软雅黑" w:eastAsia="微软雅黑" w:cs="Calibri"/>
          <w:color w:val="A6A6A6" w:themeColor="background1" w:themeShade="A6"/>
          <w:szCs w:val="21"/>
        </w:rPr>
        <w:t>08</w:t>
      </w:r>
      <w:r>
        <w:rPr>
          <w:rFonts w:hint="eastAsia" w:ascii="微软雅黑" w:hAnsi="微软雅黑" w:eastAsia="微软雅黑" w:cs="Calibri"/>
          <w:color w:val="A6A6A6" w:themeColor="background1" w:themeShade="A6"/>
          <w:szCs w:val="21"/>
        </w:rPr>
        <w:t>）</w:t>
      </w:r>
    </w:p>
    <w:p>
      <w:pPr>
        <w:spacing w:before="156" w:beforeLines="50" w:after="156" w:afterLines="50"/>
        <w:rPr>
          <w:rFonts w:ascii="仿宋" w:hAnsi="仿宋" w:eastAsia="仿宋"/>
          <w:b/>
          <w:sz w:val="28"/>
        </w:rPr>
      </w:pPr>
    </w:p>
    <w:p>
      <w:pPr>
        <w:spacing w:before="156" w:beforeLines="50" w:after="156" w:afterLines="50"/>
        <w:rPr>
          <w:rFonts w:ascii="仿宋" w:hAnsi="仿宋" w:eastAsia="仿宋"/>
          <w:b/>
          <w:sz w:val="28"/>
        </w:rPr>
      </w:pPr>
      <w:r>
        <w:rPr>
          <w:rFonts w:ascii="仿宋" w:hAnsi="仿宋" w:eastAsia="仿宋"/>
          <w:b/>
          <w:sz w:val="28"/>
        </w:rPr>
        <w:t>三</w:t>
      </w:r>
      <w:r>
        <w:rPr>
          <w:rFonts w:hint="eastAsia" w:ascii="仿宋" w:hAnsi="仿宋" w:eastAsia="仿宋"/>
          <w:b/>
          <w:sz w:val="28"/>
        </w:rPr>
        <w:t>、河南辖区上市公司基本情况</w:t>
      </w:r>
    </w:p>
    <w:p>
      <w:pPr>
        <w:spacing w:line="360" w:lineRule="auto"/>
        <w:ind w:firstLine="560" w:firstLineChars="200"/>
        <w:rPr>
          <w:rFonts w:ascii="仿宋" w:hAnsi="仿宋" w:eastAsia="仿宋"/>
          <w:sz w:val="28"/>
        </w:rPr>
      </w:pPr>
      <w:r>
        <w:rPr>
          <w:rFonts w:hint="eastAsia" w:ascii="仿宋" w:hAnsi="仿宋" w:eastAsia="仿宋"/>
          <w:sz w:val="28"/>
        </w:rPr>
        <w:t>截至2023年5月31日,河南辖区共有</w:t>
      </w:r>
      <w:r>
        <w:rPr>
          <w:rFonts w:ascii="仿宋" w:hAnsi="仿宋" w:eastAsia="仿宋"/>
          <w:sz w:val="28"/>
        </w:rPr>
        <w:t>A股上市公司109</w:t>
      </w:r>
      <w:r>
        <w:rPr>
          <w:rFonts w:hint="eastAsia" w:ascii="仿宋" w:hAnsi="仿宋" w:eastAsia="仿宋"/>
          <w:sz w:val="28"/>
        </w:rPr>
        <w:t>家。位居全国第1</w:t>
      </w:r>
      <w:r>
        <w:rPr>
          <w:rFonts w:ascii="仿宋" w:hAnsi="仿宋" w:eastAsia="仿宋"/>
          <w:sz w:val="28"/>
        </w:rPr>
        <w:t>3</w:t>
      </w:r>
      <w:r>
        <w:rPr>
          <w:rFonts w:hint="eastAsia" w:ascii="仿宋" w:hAnsi="仿宋" w:eastAsia="仿宋"/>
          <w:sz w:val="28"/>
        </w:rPr>
        <w:t>位（按照协会口径统计）。其中上交所主板30家，科创板5家，深交所主板36家、创业板27家，北证1</w:t>
      </w:r>
      <w:r>
        <w:rPr>
          <w:rFonts w:ascii="仿宋" w:hAnsi="仿宋" w:eastAsia="仿宋"/>
          <w:sz w:val="28"/>
        </w:rPr>
        <w:t>1</w:t>
      </w:r>
      <w:r>
        <w:rPr>
          <w:rFonts w:hint="eastAsia" w:ascii="仿宋" w:hAnsi="仿宋" w:eastAsia="仿宋"/>
          <w:sz w:val="28"/>
        </w:rPr>
        <w:t>家。</w:t>
      </w:r>
    </w:p>
    <w:p>
      <w:pPr>
        <w:spacing w:line="360" w:lineRule="auto"/>
        <w:ind w:firstLine="560" w:firstLineChars="200"/>
        <w:rPr>
          <w:rFonts w:ascii="仿宋" w:hAnsi="仿宋" w:eastAsia="仿宋"/>
          <w:sz w:val="28"/>
        </w:rPr>
      </w:pPr>
      <w:r>
        <w:rPr>
          <w:rFonts w:hint="eastAsia" w:ascii="仿宋" w:hAnsi="仿宋" w:eastAsia="仿宋"/>
          <w:sz w:val="28"/>
        </w:rPr>
        <w:t>截至2023年5月31日,河南辖区A股上市公司的总市值为13,580.16亿元，占</w:t>
      </w:r>
      <w:r>
        <w:rPr>
          <w:rFonts w:ascii="仿宋" w:hAnsi="仿宋" w:eastAsia="仿宋"/>
          <w:sz w:val="28"/>
        </w:rPr>
        <w:t>A股上市公司总市值的1.46%</w:t>
      </w:r>
      <w:r>
        <w:rPr>
          <w:rFonts w:hint="eastAsia" w:ascii="仿宋" w:hAnsi="仿宋" w:eastAsia="仿宋"/>
          <w:sz w:val="28"/>
        </w:rPr>
        <w:t>。2023年河南辖区上市公司再融资（含增发、可转债）募集资金总额为</w:t>
      </w:r>
      <w:r>
        <w:rPr>
          <w:rFonts w:ascii="仿宋" w:hAnsi="仿宋" w:eastAsia="仿宋"/>
          <w:sz w:val="28"/>
        </w:rPr>
        <w:t>81.88</w:t>
      </w:r>
      <w:r>
        <w:rPr>
          <w:rFonts w:hint="eastAsia" w:ascii="仿宋" w:hAnsi="仿宋" w:eastAsia="仿宋"/>
          <w:sz w:val="28"/>
        </w:rPr>
        <w:t>亿元。</w:t>
      </w: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图1　上市公司市值排名行业分布图</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4959350" cy="25336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图2  市值排名前十的</w:t>
      </w:r>
      <w:r>
        <w:rPr>
          <w:rFonts w:ascii="仿宋" w:hAnsi="仿宋" w:eastAsia="仿宋"/>
          <w:b/>
          <w:sz w:val="24"/>
        </w:rPr>
        <w:t>上市公司</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4953000" cy="2641600"/>
            <wp:effectExtent l="0" t="0" r="0" b="635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rFonts w:ascii="仿宋" w:hAnsi="仿宋" w:eastAsia="仿宋"/>
          <w:b/>
          <w:sz w:val="24"/>
        </w:rPr>
      </w:pPr>
    </w:p>
    <w:p>
      <w:pPr>
        <w:spacing w:before="156" w:beforeLines="50" w:after="156" w:afterLines="50" w:line="360" w:lineRule="auto"/>
        <w:jc w:val="center"/>
        <w:rPr>
          <w:rFonts w:ascii="仿宋" w:hAnsi="仿宋" w:eastAsia="仿宋"/>
          <w:b/>
          <w:sz w:val="24"/>
        </w:rPr>
      </w:pPr>
      <w:r>
        <w:rPr>
          <w:rFonts w:ascii="仿宋" w:hAnsi="仿宋" w:eastAsia="仿宋"/>
          <w:b/>
          <w:sz w:val="24"/>
        </w:rPr>
        <w:t>图3  月成交额排名前十的上市公司</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4826000" cy="2393950"/>
            <wp:effectExtent l="0" t="0" r="12700" b="635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rPr>
          <w:rFonts w:ascii="仿宋" w:hAnsi="仿宋" w:eastAsia="仿宋"/>
          <w:b/>
          <w:sz w:val="28"/>
        </w:rPr>
      </w:pPr>
      <w:r>
        <w:rPr>
          <w:rFonts w:hint="eastAsia" w:ascii="仿宋" w:hAnsi="仿宋" w:eastAsia="仿宋"/>
          <w:b/>
          <w:sz w:val="28"/>
        </w:rPr>
        <w:t>四、河南辖区上市公司5月市场表现分析</w:t>
      </w:r>
    </w:p>
    <w:p>
      <w:pPr>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s="仿宋"/>
          <w:sz w:val="28"/>
          <w:szCs w:val="28"/>
        </w:rPr>
        <w:t>节后首个交易日沪指延续反弹，创业板指迎来调整；个股涨多跌少，短线情绪升温；8日，大盘震荡上涨，沪指盘中站上3</w:t>
      </w:r>
      <w:r>
        <w:rPr>
          <w:rFonts w:ascii="仿宋" w:hAnsi="仿宋" w:eastAsia="仿宋" w:cs="仿宋"/>
          <w:sz w:val="28"/>
          <w:szCs w:val="28"/>
        </w:rPr>
        <w:t>,</w:t>
      </w:r>
      <w:r>
        <w:rPr>
          <w:rFonts w:hint="eastAsia" w:ascii="仿宋" w:hAnsi="仿宋" w:eastAsia="仿宋" w:cs="仿宋"/>
          <w:sz w:val="28"/>
          <w:szCs w:val="28"/>
        </w:rPr>
        <w:t>400点，沪指涨1.56%，深成指涨0.31%，创业板指涨0.01%。随后几日进入调整收跌。1</w:t>
      </w:r>
      <w:r>
        <w:rPr>
          <w:rFonts w:ascii="仿宋" w:hAnsi="仿宋" w:eastAsia="仿宋" w:cs="仿宋"/>
          <w:sz w:val="28"/>
          <w:szCs w:val="28"/>
        </w:rPr>
        <w:t>2</w:t>
      </w:r>
      <w:r>
        <w:rPr>
          <w:rFonts w:hint="eastAsia" w:ascii="仿宋" w:hAnsi="仿宋" w:eastAsia="仿宋" w:cs="仿宋"/>
          <w:sz w:val="28"/>
          <w:szCs w:val="28"/>
        </w:rPr>
        <w:t>日，大盘全天震荡走低，三大指数均跌超1%，沪指失守3,300点，中特估概念回调整理态势。1</w:t>
      </w:r>
      <w:r>
        <w:rPr>
          <w:rFonts w:ascii="仿宋" w:hAnsi="仿宋" w:eastAsia="仿宋" w:cs="仿宋"/>
          <w:sz w:val="28"/>
          <w:szCs w:val="28"/>
        </w:rPr>
        <w:t>7</w:t>
      </w:r>
      <w:r>
        <w:rPr>
          <w:rFonts w:hint="eastAsia" w:ascii="仿宋" w:hAnsi="仿宋" w:eastAsia="仿宋" w:cs="仿宋"/>
          <w:sz w:val="28"/>
          <w:szCs w:val="28"/>
        </w:rPr>
        <w:t>日，市场缩量三大指数均小幅下跌，沪指跌0.21%，深成指跌0.07%，创业板指跌0.02%。2</w:t>
      </w:r>
      <w:r>
        <w:rPr>
          <w:rFonts w:ascii="仿宋" w:hAnsi="仿宋" w:eastAsia="仿宋" w:cs="仿宋"/>
          <w:sz w:val="28"/>
          <w:szCs w:val="28"/>
        </w:rPr>
        <w:t>4</w:t>
      </w:r>
      <w:r>
        <w:rPr>
          <w:rFonts w:hint="eastAsia" w:ascii="仿宋" w:hAnsi="仿宋" w:eastAsia="仿宋" w:cs="仿宋"/>
          <w:sz w:val="28"/>
          <w:szCs w:val="28"/>
        </w:rPr>
        <w:t>日，沪指跌超1%失守年线；</w:t>
      </w:r>
      <w:r>
        <w:rPr>
          <w:rFonts w:ascii="仿宋" w:hAnsi="仿宋" w:eastAsia="仿宋"/>
          <w:color w:val="000000" w:themeColor="text1"/>
          <w:sz w:val="28"/>
          <w14:textFill>
            <w14:solidFill>
              <w14:schemeClr w14:val="tx1"/>
            </w14:solidFill>
          </w14:textFill>
        </w:rPr>
        <w:t>及至月末，上证综指下跌3.57%</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3,204.56</w:t>
      </w:r>
      <w:r>
        <w:rPr>
          <w:rFonts w:hint="eastAsia" w:ascii="仿宋" w:hAnsi="仿宋" w:eastAsia="仿宋"/>
          <w:color w:val="000000" w:themeColor="text1"/>
          <w:sz w:val="28"/>
          <w14:textFill>
            <w14:solidFill>
              <w14:schemeClr w14:val="tx1"/>
            </w14:solidFill>
          </w14:textFill>
        </w:rPr>
        <w:t>点；深证成指</w:t>
      </w:r>
      <w:r>
        <w:rPr>
          <w:rFonts w:ascii="仿宋" w:hAnsi="仿宋" w:eastAsia="仿宋"/>
          <w:color w:val="000000" w:themeColor="text1"/>
          <w:sz w:val="28"/>
          <w14:textFill>
            <w14:solidFill>
              <w14:schemeClr w14:val="tx1"/>
            </w14:solidFill>
          </w14:textFill>
        </w:rPr>
        <w:t>下跌4.80%</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10,793.85</w:t>
      </w:r>
      <w:r>
        <w:rPr>
          <w:rFonts w:hint="eastAsia" w:ascii="仿宋" w:hAnsi="仿宋" w:eastAsia="仿宋"/>
          <w:color w:val="000000" w:themeColor="text1"/>
          <w:sz w:val="28"/>
          <w14:textFill>
            <w14:solidFill>
              <w14:schemeClr w14:val="tx1"/>
            </w14:solidFill>
          </w14:textFill>
        </w:rPr>
        <w:t>点；创业板指下跌5.65%，报收</w:t>
      </w:r>
      <w:r>
        <w:rPr>
          <w:rFonts w:ascii="仿宋" w:hAnsi="仿宋" w:eastAsia="仿宋"/>
          <w:color w:val="000000" w:themeColor="text1"/>
          <w:sz w:val="28"/>
          <w14:textFill>
            <w14:solidFill>
              <w14:schemeClr w14:val="tx1"/>
            </w14:solidFill>
          </w14:textFill>
        </w:rPr>
        <w:t>2,193.41</w:t>
      </w:r>
      <w:r>
        <w:rPr>
          <w:rFonts w:hint="eastAsia" w:ascii="仿宋" w:hAnsi="仿宋" w:eastAsia="仿宋"/>
          <w:color w:val="000000" w:themeColor="text1"/>
          <w:sz w:val="28"/>
          <w14:textFill>
            <w14:solidFill>
              <w14:schemeClr w14:val="tx1"/>
            </w14:solidFill>
          </w14:textFill>
        </w:rPr>
        <w:t>点。</w:t>
      </w:r>
    </w:p>
    <w:p>
      <w:pPr>
        <w:spacing w:after="156" w:afterLines="50"/>
        <w:ind w:firstLine="560" w:firstLineChars="200"/>
        <w:rPr>
          <w:rFonts w:ascii="仿宋" w:hAnsi="仿宋" w:eastAsia="仿宋"/>
          <w:b/>
          <w:sz w:val="24"/>
        </w:rPr>
      </w:pPr>
      <w:r>
        <w:rPr>
          <w:rFonts w:hint="eastAsia" w:ascii="仿宋" w:hAnsi="仿宋" w:eastAsia="仿宋"/>
          <w:sz w:val="28"/>
        </w:rPr>
        <w:t>2023年5月，河南</w:t>
      </w:r>
      <w:r>
        <w:rPr>
          <w:rFonts w:ascii="仿宋" w:hAnsi="仿宋" w:eastAsia="仿宋"/>
          <w:sz w:val="28"/>
        </w:rPr>
        <w:t>辖区</w:t>
      </w:r>
      <w:r>
        <w:rPr>
          <w:rFonts w:hint="eastAsia" w:ascii="仿宋" w:hAnsi="仿宋" w:eastAsia="仿宋"/>
          <w:sz w:val="28"/>
        </w:rPr>
        <w:t>涨幅排名前10位的股票中，信息技术和工业各占据4席，材料和可选消费各占据1席，涨幅最大的是汉威科技，</w:t>
      </w:r>
      <w:r>
        <w:rPr>
          <w:rFonts w:ascii="仿宋" w:hAnsi="仿宋" w:eastAsia="仿宋"/>
          <w:sz w:val="28"/>
        </w:rPr>
        <w:t>上涨</w:t>
      </w:r>
      <w:r>
        <w:rPr>
          <w:rFonts w:hint="eastAsia" w:ascii="仿宋" w:hAnsi="仿宋" w:eastAsia="仿宋"/>
          <w:sz w:val="28"/>
        </w:rPr>
        <w:t>33.56%；其次是金冠电气，</w:t>
      </w:r>
      <w:r>
        <w:rPr>
          <w:rFonts w:ascii="仿宋" w:hAnsi="仿宋" w:eastAsia="仿宋"/>
          <w:sz w:val="28"/>
        </w:rPr>
        <w:t>上涨</w:t>
      </w:r>
      <w:r>
        <w:rPr>
          <w:rFonts w:hint="eastAsia" w:ascii="仿宋" w:hAnsi="仿宋" w:eastAsia="仿宋"/>
          <w:sz w:val="28"/>
        </w:rPr>
        <w:t>29.55%。</w:t>
      </w:r>
    </w:p>
    <w:p>
      <w:pPr>
        <w:spacing w:after="156" w:afterLines="50"/>
        <w:jc w:val="center"/>
        <w:rPr>
          <w:rFonts w:ascii="仿宋" w:hAnsi="仿宋" w:eastAsia="仿宋"/>
          <w:b/>
          <w:sz w:val="24"/>
        </w:rPr>
      </w:pPr>
      <w:r>
        <w:rPr>
          <w:rFonts w:hint="eastAsia" w:ascii="仿宋" w:hAnsi="仿宋" w:eastAsia="仿宋"/>
          <w:b/>
          <w:sz w:val="24"/>
        </w:rPr>
        <w:t>表1  月涨幅前10的股票</w:t>
      </w:r>
    </w:p>
    <w:tbl>
      <w:tblPr>
        <w:tblStyle w:val="9"/>
        <w:tblW w:w="8396" w:type="dxa"/>
        <w:jc w:val="center"/>
        <w:tblLayout w:type="fixed"/>
        <w:tblCellMar>
          <w:top w:w="0" w:type="dxa"/>
          <w:left w:w="108" w:type="dxa"/>
          <w:bottom w:w="0" w:type="dxa"/>
          <w:right w:w="108" w:type="dxa"/>
        </w:tblCellMar>
      </w:tblPr>
      <w:tblGrid>
        <w:gridCol w:w="705"/>
        <w:gridCol w:w="1276"/>
        <w:gridCol w:w="1133"/>
        <w:gridCol w:w="1135"/>
        <w:gridCol w:w="1714"/>
        <w:gridCol w:w="1338"/>
        <w:gridCol w:w="1095"/>
      </w:tblGrid>
      <w:tr>
        <w:tblPrEx>
          <w:tblCellMar>
            <w:top w:w="0" w:type="dxa"/>
            <w:left w:w="108" w:type="dxa"/>
            <w:bottom w:w="0" w:type="dxa"/>
            <w:right w:w="108" w:type="dxa"/>
          </w:tblCellMar>
        </w:tblPrEx>
        <w:trPr>
          <w:trHeight w:val="2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月涨幅</w:t>
            </w:r>
          </w:p>
          <w:p>
            <w:pPr>
              <w:widowControl/>
              <w:jc w:val="center"/>
              <w:rPr>
                <w:rFonts w:ascii="仿宋" w:hAnsi="仿宋" w:eastAsia="仿宋"/>
                <w:b/>
                <w:color w:val="000000"/>
                <w:szCs w:val="21"/>
              </w:rPr>
            </w:pPr>
            <w:r>
              <w:rPr>
                <w:rFonts w:hint="eastAsia" w:ascii="仿宋" w:hAnsi="仿宋" w:eastAsia="仿宋"/>
                <w:b/>
                <w:color w:val="000000"/>
                <w:szCs w:val="21"/>
              </w:rPr>
              <w:t>（</w:t>
            </w:r>
            <w:r>
              <w:rPr>
                <w:rFonts w:ascii="仿宋" w:hAnsi="仿宋" w:eastAsia="仿宋"/>
                <w:b/>
                <w:color w:val="000000"/>
                <w:szCs w:val="21"/>
              </w:rPr>
              <w:t>%</w:t>
            </w:r>
            <w:r>
              <w:rPr>
                <w:rFonts w:hint="eastAsia" w:ascii="仿宋" w:hAnsi="仿宋" w:eastAsia="仿宋"/>
                <w:b/>
                <w:color w:val="000000"/>
                <w:szCs w:val="21"/>
              </w:rPr>
              <w:t>）</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（2023-05-31）</w:t>
            </w: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t>
            </w:r>
          </w:p>
          <w:p>
            <w:pPr>
              <w:widowControl/>
              <w:jc w:val="center"/>
              <w:rPr>
                <w:rFonts w:ascii="仿宋" w:hAnsi="仿宋" w:eastAsia="仿宋"/>
                <w:b/>
                <w:color w:val="000000"/>
                <w:szCs w:val="21"/>
              </w:rPr>
            </w:pPr>
            <w:r>
              <w:rPr>
                <w:rFonts w:hint="eastAsia" w:ascii="仿宋" w:hAnsi="仿宋" w:eastAsia="仿宋"/>
                <w:b/>
                <w:color w:val="000000"/>
                <w:szCs w:val="21"/>
              </w:rPr>
              <w:t>（Wind）</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300007.SZ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汉威科技</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33.56</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19.66</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17.28</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688517.SH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金冠电气</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29.55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23.19</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101.83</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301152.SZ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天力锂能</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24.75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45.38</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-5.20</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301361.SZ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众智科技</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23.97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27.62</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23.47</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832225.BJ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利通科技</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17.24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9.48</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64.02</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002189.SZ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中光学</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16.84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17.55</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20.54</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301182.SZ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凯旺科技</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16.13</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22.53</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19.71</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000885.SZ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城发环境</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13.25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13.33</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40.76</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835207.BJ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众诚科技</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13.15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6.54</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10.47</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002448.SZ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中原内配</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12.63</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6.42</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19.33</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bl>
    <w:p>
      <w:pPr>
        <w:spacing w:before="156" w:beforeLines="50" w:after="156" w:afterLines="50"/>
        <w:ind w:firstLine="560" w:firstLineChars="200"/>
        <w:rPr>
          <w:rFonts w:ascii="仿宋" w:hAnsi="仿宋" w:eastAsia="仿宋"/>
          <w:sz w:val="28"/>
        </w:rPr>
      </w:pPr>
      <w:r>
        <w:rPr>
          <w:rFonts w:hint="eastAsia" w:ascii="仿宋" w:hAnsi="仿宋" w:eastAsia="仿宋"/>
          <w:sz w:val="28"/>
        </w:rPr>
        <w:t>跌幅前</w:t>
      </w:r>
      <w:r>
        <w:rPr>
          <w:rFonts w:ascii="仿宋" w:hAnsi="仿宋" w:eastAsia="仿宋"/>
          <w:sz w:val="28"/>
        </w:rPr>
        <w:t>10位的股票中，</w:t>
      </w:r>
      <w:r>
        <w:rPr>
          <w:rFonts w:hint="eastAsia" w:ascii="仿宋" w:hAnsi="仿宋" w:eastAsia="仿宋"/>
          <w:sz w:val="28"/>
        </w:rPr>
        <w:t>材料占据4席，日常消费和可选消费各占据2席，信息技术和医疗保健各占据1席，跌幅最大的为*ST新纺，下跌29.44</w:t>
      </w:r>
      <w:r>
        <w:rPr>
          <w:rFonts w:ascii="仿宋" w:hAnsi="仿宋" w:eastAsia="仿宋"/>
          <w:sz w:val="28"/>
        </w:rPr>
        <w:t>%</w:t>
      </w:r>
      <w:r>
        <w:rPr>
          <w:rFonts w:hint="eastAsia" w:ascii="仿宋" w:hAnsi="仿宋" w:eastAsia="仿宋"/>
          <w:sz w:val="28"/>
        </w:rPr>
        <w:t>;其次为退市辅仁，下跌25.00</w:t>
      </w:r>
      <w:r>
        <w:rPr>
          <w:rFonts w:ascii="仿宋" w:hAnsi="仿宋" w:eastAsia="仿宋"/>
          <w:sz w:val="28"/>
        </w:rPr>
        <w:t>%。</w:t>
      </w:r>
    </w:p>
    <w:p>
      <w:pPr>
        <w:spacing w:after="156" w:afterLines="50"/>
        <w:jc w:val="center"/>
        <w:rPr>
          <w:rFonts w:ascii="仿宋" w:hAnsi="仿宋" w:eastAsia="仿宋"/>
          <w:b/>
          <w:sz w:val="24"/>
        </w:rPr>
      </w:pPr>
      <w:r>
        <w:rPr>
          <w:rFonts w:hint="eastAsia" w:ascii="仿宋" w:hAnsi="仿宋" w:eastAsia="仿宋"/>
          <w:b/>
          <w:sz w:val="24"/>
        </w:rPr>
        <w:t>表2  月跌幅前10的股票</w:t>
      </w:r>
    </w:p>
    <w:tbl>
      <w:tblPr>
        <w:tblStyle w:val="9"/>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76"/>
        <w:gridCol w:w="1133"/>
        <w:gridCol w:w="1135"/>
        <w:gridCol w:w="1714"/>
        <w:gridCol w:w="133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135" w:type="dxa"/>
            <w:vAlign w:val="center"/>
          </w:tcPr>
          <w:p>
            <w:pPr>
              <w:widowControl/>
              <w:jc w:val="center"/>
              <w:rPr>
                <w:rFonts w:ascii="仿宋" w:hAnsi="仿宋" w:eastAsia="仿宋"/>
                <w:b/>
                <w:color w:val="000000"/>
                <w:szCs w:val="21"/>
              </w:rPr>
            </w:pPr>
            <w:r>
              <w:rPr>
                <w:rFonts w:hint="eastAsia" w:ascii="仿宋" w:hAnsi="仿宋" w:eastAsia="仿宋"/>
                <w:b/>
                <w:color w:val="000000"/>
                <w:szCs w:val="21"/>
              </w:rPr>
              <w:t>月跌幅</w:t>
            </w:r>
          </w:p>
          <w:p>
            <w:pPr>
              <w:widowControl/>
              <w:jc w:val="center"/>
              <w:rPr>
                <w:rFonts w:ascii="仿宋" w:hAnsi="仿宋" w:eastAsia="仿宋"/>
                <w:b/>
                <w:color w:val="000000"/>
                <w:szCs w:val="21"/>
              </w:rPr>
            </w:pPr>
            <w:r>
              <w:rPr>
                <w:rFonts w:hint="eastAsia" w:ascii="仿宋" w:hAnsi="仿宋" w:eastAsia="仿宋"/>
                <w:b/>
                <w:color w:val="000000"/>
                <w:szCs w:val="21"/>
              </w:rPr>
              <w:t>（</w:t>
            </w:r>
            <w:r>
              <w:rPr>
                <w:rFonts w:ascii="仿宋" w:hAnsi="仿宋" w:eastAsia="仿宋"/>
                <w:b/>
                <w:color w:val="000000"/>
                <w:szCs w:val="21"/>
              </w:rPr>
              <w:t>%</w:t>
            </w:r>
            <w:r>
              <w:rPr>
                <w:rFonts w:hint="eastAsia" w:ascii="仿宋" w:hAnsi="仿宋" w:eastAsia="仿宋"/>
                <w:b/>
                <w:color w:val="000000"/>
                <w:szCs w:val="21"/>
              </w:rPr>
              <w:t>）</w:t>
            </w:r>
          </w:p>
        </w:tc>
        <w:tc>
          <w:tcPr>
            <w:tcW w:w="1714" w:type="dxa"/>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（2023-05-31）</w:t>
            </w:r>
          </w:p>
        </w:tc>
        <w:tc>
          <w:tcPr>
            <w:tcW w:w="1338" w:type="dxa"/>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1095" w:type="dxa"/>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t>
            </w:r>
          </w:p>
          <w:p>
            <w:pPr>
              <w:widowControl/>
              <w:jc w:val="center"/>
              <w:rPr>
                <w:rFonts w:ascii="仿宋" w:hAnsi="仿宋" w:eastAsia="仿宋"/>
                <w:b/>
                <w:color w:val="000000"/>
                <w:szCs w:val="21"/>
              </w:rPr>
            </w:pPr>
            <w:r>
              <w:rPr>
                <w:rFonts w:hint="eastAsia" w:ascii="仿宋" w:hAnsi="仿宋" w:eastAsia="仿宋"/>
                <w:b/>
                <w:color w:val="000000"/>
                <w:szCs w:val="21"/>
              </w:rPr>
              <w:t>（Wind）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002087.SZ</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*ST新纺</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-29.44</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1.63</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-48.25</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600781.SH</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退市辅仁</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-25.00</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0.63</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-71.23</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600595.SH</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中孚实业</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-17.38</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2.71</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-9.67</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002714.SZ</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牧原股份</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-16.34</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40.05</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-17.85</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688357.SH</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建龙微纳</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-16.32</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92.18</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-16.88</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000933.SZ</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神火股份</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-16.01</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12.78</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-8.49</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000719.SZ</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中原传媒</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-15.43</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11.78</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46.70</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600876.SH</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凯盛新能</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-14.47</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15.61</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-22.11</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002582.SZ</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好想你</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-13.31</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7.36</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-22.61</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300845.SZ</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捷安高科</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-13.10</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21.76</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19.04</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bl>
    <w:p>
      <w:pPr>
        <w:spacing w:before="156" w:beforeLines="50" w:after="156" w:afterLines="50"/>
        <w:rPr>
          <w:rFonts w:ascii="仿宋" w:hAnsi="仿宋" w:eastAsia="仿宋"/>
          <w:b/>
          <w:sz w:val="28"/>
        </w:rPr>
      </w:pPr>
      <w:r>
        <w:rPr>
          <w:rFonts w:hint="eastAsia" w:ascii="仿宋" w:hAnsi="仿宋" w:eastAsia="仿宋"/>
          <w:b/>
          <w:sz w:val="28"/>
        </w:rPr>
        <w:t>五、河南</w:t>
      </w:r>
      <w:r>
        <w:rPr>
          <w:rFonts w:ascii="仿宋" w:hAnsi="仿宋" w:eastAsia="仿宋"/>
          <w:b/>
          <w:sz w:val="28"/>
        </w:rPr>
        <w:t>辖区</w:t>
      </w:r>
      <w:r>
        <w:rPr>
          <w:rFonts w:hint="eastAsia" w:ascii="仿宋" w:hAnsi="仿宋" w:eastAsia="仿宋"/>
          <w:b/>
          <w:sz w:val="28"/>
        </w:rPr>
        <w:t>上市公司</w:t>
      </w:r>
      <w:r>
        <w:rPr>
          <w:rFonts w:ascii="仿宋" w:hAnsi="仿宋" w:eastAsia="仿宋"/>
          <w:b/>
          <w:sz w:val="28"/>
        </w:rPr>
        <w:t>5月重大事项</w:t>
      </w:r>
    </w:p>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1.IPO相关</w:t>
      </w:r>
    </w:p>
    <w:p>
      <w:pPr>
        <w:spacing w:before="156" w:beforeLines="50" w:after="156" w:afterLines="50"/>
        <w:ind w:firstLine="560" w:firstLineChars="200"/>
        <w:rPr>
          <w:rFonts w:ascii="仿宋" w:hAnsi="仿宋" w:eastAsia="仿宋"/>
          <w:sz w:val="28"/>
        </w:rPr>
      </w:pPr>
      <w:r>
        <w:rPr>
          <w:rFonts w:hint="eastAsia" w:ascii="仿宋" w:hAnsi="仿宋" w:eastAsia="仿宋"/>
          <w:sz w:val="28"/>
        </w:rPr>
        <w:t>本月无IPO上市、获发批文及过会事宜。</w:t>
      </w:r>
    </w:p>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2.资本运作</w:t>
      </w:r>
    </w:p>
    <w:p>
      <w:pPr>
        <w:spacing w:before="156" w:beforeLines="50" w:after="156" w:afterLines="50"/>
        <w:ind w:firstLine="560" w:firstLineChars="200"/>
        <w:rPr>
          <w:rFonts w:ascii="仿宋" w:hAnsi="仿宋" w:eastAsia="仿宋"/>
          <w:sz w:val="28"/>
        </w:rPr>
      </w:pPr>
      <w:r>
        <w:rPr>
          <w:rFonts w:hint="eastAsia" w:ascii="仿宋" w:hAnsi="仿宋" w:eastAsia="仿宋"/>
          <w:sz w:val="28"/>
        </w:rPr>
        <w:t>本月无再融资实施完成事项。</w:t>
      </w:r>
    </w:p>
    <w:p>
      <w:pPr>
        <w:spacing w:before="156" w:beforeLines="50" w:after="156" w:afterLines="50"/>
        <w:jc w:val="center"/>
        <w:rPr>
          <w:rFonts w:ascii="仿宋" w:hAnsi="仿宋" w:eastAsia="仿宋"/>
          <w:b/>
          <w:sz w:val="24"/>
        </w:rPr>
      </w:pPr>
      <w:r>
        <w:rPr>
          <w:rFonts w:ascii="仿宋" w:hAnsi="仿宋" w:eastAsia="仿宋"/>
          <w:b/>
          <w:sz w:val="24"/>
        </w:rPr>
        <w:t>表3  对外投资事项</w:t>
      </w:r>
    </w:p>
    <w:tbl>
      <w:tblPr>
        <w:tblStyle w:val="9"/>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1161"/>
        <w:gridCol w:w="1134"/>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公告事项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2023-05-30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300007.SZ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汉威科技</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近期，公司及子公司使用部分闲置募集资金及自有资金进行现金管理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2023-05-24</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301182.SZ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凯旺科技</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继续使用闲置募集资金进行现金管理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2023-05-22</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301277.SZ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新天地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公司于2023年5月22日与中国光大银行股份有限公司许昌分行签订结构性存款认购委托书，使用闲置自有资金购买了结构性存款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2023-05-19</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301361.SZ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众智科技</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近日，公司在上述使用期限及额度内使用部分自有资金认购了理财产品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2023-05-18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301182.SZ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凯旺科技</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继续使用闲置募集资金进行现金管理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2023-05-17</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301277.SZ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新天地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新天地及控股子公司新天地昭衍（北京）医药技术有限公司于近日使用闲置自有资金购买结构性存款到期赎回并继续购买结构性存款。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2023-05-16</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近日，公司购买了理财产品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2023-05-15</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300845.SZ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捷安高科</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本次购买的理财产品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2023-05-13</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002406.SZ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远东传动</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5月11日公司与中国银行许昌分行签订了&lt;&lt;中国银行挂钩型结构性存款销售协议书（机构客户）&gt;&gt;，公司使用暂时闲置募集资金人民币30,000万元用于购买中国银行挂钩型结构性存款（机构客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2023-05-10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002406.SZ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远东传动</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5月8日公司与中国民生银行郑州分行（以下简称“民生银行”）签订了&lt;&lt;中国民生银行结构性存款产品合同（机构版）&gt;&gt;，公司使用暂时闲置募集资金人民币10,000万元用于购买民生银行聚赢利率-挂钩中债10年期国债到期收益率结构性存款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2023-05-08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301277.SZ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新天地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公司本次使用部分闲置募集资金进行现金管理</w:t>
            </w:r>
          </w:p>
        </w:tc>
      </w:tr>
    </w:tbl>
    <w:p>
      <w:pPr>
        <w:spacing w:before="156" w:beforeLines="50" w:after="156" w:afterLines="50"/>
        <w:jc w:val="center"/>
        <w:rPr>
          <w:rFonts w:ascii="仿宋" w:hAnsi="仿宋" w:eastAsia="仿宋"/>
          <w:b/>
          <w:sz w:val="24"/>
        </w:rPr>
      </w:pPr>
      <w:r>
        <w:rPr>
          <w:rFonts w:hint="eastAsia" w:ascii="仿宋" w:hAnsi="仿宋" w:eastAsia="仿宋"/>
          <w:b/>
          <w:sz w:val="24"/>
        </w:rPr>
        <w:t>表4　再融资预案披露事项</w:t>
      </w:r>
    </w:p>
    <w:tbl>
      <w:tblPr>
        <w:tblStyle w:val="9"/>
        <w:tblW w:w="10201" w:type="dxa"/>
        <w:jc w:val="center"/>
        <w:tblLayout w:type="fixed"/>
        <w:tblCellMar>
          <w:top w:w="0" w:type="dxa"/>
          <w:left w:w="108" w:type="dxa"/>
          <w:bottom w:w="0" w:type="dxa"/>
          <w:right w:w="108" w:type="dxa"/>
        </w:tblCellMar>
      </w:tblPr>
      <w:tblGrid>
        <w:gridCol w:w="704"/>
        <w:gridCol w:w="1276"/>
        <w:gridCol w:w="1283"/>
        <w:gridCol w:w="1177"/>
        <w:gridCol w:w="1081"/>
        <w:gridCol w:w="1081"/>
        <w:gridCol w:w="1081"/>
        <w:gridCol w:w="1605"/>
        <w:gridCol w:w="913"/>
      </w:tblGrid>
      <w:tr>
        <w:tblPrEx>
          <w:tblCellMar>
            <w:top w:w="0" w:type="dxa"/>
            <w:left w:w="108" w:type="dxa"/>
            <w:bottom w:w="0" w:type="dxa"/>
            <w:right w:w="108" w:type="dxa"/>
          </w:tblCellMar>
        </w:tblPrEx>
        <w:trPr>
          <w:trHeight w:val="27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预案公告日</w:t>
            </w:r>
          </w:p>
        </w:tc>
        <w:tc>
          <w:tcPr>
            <w:tcW w:w="128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最新披露日</w:t>
            </w:r>
          </w:p>
        </w:tc>
        <w:tc>
          <w:tcPr>
            <w:tcW w:w="11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0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事项类型</w:t>
            </w:r>
          </w:p>
        </w:tc>
        <w:tc>
          <w:tcPr>
            <w:tcW w:w="10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定向增发目的</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方案进度</w:t>
            </w:r>
          </w:p>
        </w:tc>
        <w:tc>
          <w:tcPr>
            <w:tcW w:w="91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预计募集资金</w:t>
            </w:r>
          </w:p>
          <w:p>
            <w:pPr>
              <w:jc w:val="center"/>
              <w:rPr>
                <w:rFonts w:ascii="仿宋" w:hAnsi="仿宋" w:eastAsia="仿宋"/>
                <w:b/>
                <w:szCs w:val="21"/>
              </w:rPr>
            </w:pPr>
            <w:r>
              <w:rPr>
                <w:rFonts w:hint="eastAsia" w:ascii="仿宋" w:hAnsi="仿宋" w:eastAsia="仿宋"/>
                <w:b/>
                <w:szCs w:val="21"/>
              </w:rPr>
              <w:t>(亿元)</w:t>
            </w:r>
          </w:p>
        </w:tc>
      </w:tr>
      <w:tr>
        <w:tblPrEx>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1</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2023-05-27</w:t>
            </w:r>
          </w:p>
        </w:tc>
        <w:tc>
          <w:tcPr>
            <w:tcW w:w="128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2023-05-27</w:t>
            </w:r>
          </w:p>
        </w:tc>
        <w:tc>
          <w:tcPr>
            <w:tcW w:w="117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601608.SH</w:t>
            </w:r>
          </w:p>
        </w:tc>
        <w:tc>
          <w:tcPr>
            <w:tcW w:w="108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中信重工</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增发</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项目融资</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董事会预案</w:t>
            </w:r>
          </w:p>
        </w:tc>
        <w:tc>
          <w:tcPr>
            <w:tcW w:w="91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10.08</w:t>
            </w:r>
          </w:p>
        </w:tc>
      </w:tr>
      <w:tr>
        <w:tblPrEx>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2</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2023-05-23</w:t>
            </w:r>
          </w:p>
        </w:tc>
        <w:tc>
          <w:tcPr>
            <w:tcW w:w="128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2023-05-23</w:t>
            </w:r>
          </w:p>
        </w:tc>
        <w:tc>
          <w:tcPr>
            <w:tcW w:w="117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300701.SZ</w:t>
            </w:r>
          </w:p>
        </w:tc>
        <w:tc>
          <w:tcPr>
            <w:tcW w:w="108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森霸传感</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增发</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配套融资</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董事会预案</w:t>
            </w:r>
          </w:p>
        </w:tc>
        <w:tc>
          <w:tcPr>
            <w:tcW w:w="91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1.06</w:t>
            </w:r>
          </w:p>
        </w:tc>
      </w:tr>
      <w:tr>
        <w:tblPrEx>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3</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2023-05-23</w:t>
            </w:r>
          </w:p>
        </w:tc>
        <w:tc>
          <w:tcPr>
            <w:tcW w:w="128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2023-05-23</w:t>
            </w:r>
          </w:p>
        </w:tc>
        <w:tc>
          <w:tcPr>
            <w:tcW w:w="117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300701.SZ</w:t>
            </w:r>
          </w:p>
        </w:tc>
        <w:tc>
          <w:tcPr>
            <w:tcW w:w="108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森霸传感</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增发</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融资收购其他资产</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董事会预案</w:t>
            </w:r>
          </w:p>
        </w:tc>
        <w:tc>
          <w:tcPr>
            <w:tcW w:w="91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1.09</w:t>
            </w:r>
          </w:p>
        </w:tc>
      </w:tr>
      <w:tr>
        <w:tblPrEx>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4</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2023-05-10</w:t>
            </w:r>
          </w:p>
        </w:tc>
        <w:tc>
          <w:tcPr>
            <w:tcW w:w="128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2023-05-31</w:t>
            </w:r>
          </w:p>
        </w:tc>
        <w:tc>
          <w:tcPr>
            <w:tcW w:w="117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002560.SZ</w:t>
            </w:r>
          </w:p>
        </w:tc>
        <w:tc>
          <w:tcPr>
            <w:tcW w:w="108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通达股份</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增发</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项目融资</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股东大会通过</w:t>
            </w:r>
          </w:p>
        </w:tc>
        <w:tc>
          <w:tcPr>
            <w:tcW w:w="91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6.50</w:t>
            </w:r>
          </w:p>
        </w:tc>
      </w:tr>
      <w:tr>
        <w:tblPrEx>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5</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2022-09-22</w:t>
            </w:r>
          </w:p>
        </w:tc>
        <w:tc>
          <w:tcPr>
            <w:tcW w:w="128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2023-05-27</w:t>
            </w:r>
          </w:p>
        </w:tc>
        <w:tc>
          <w:tcPr>
            <w:tcW w:w="117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605368.SH</w:t>
            </w:r>
          </w:p>
        </w:tc>
        <w:tc>
          <w:tcPr>
            <w:tcW w:w="108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蓝天燃气</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可转债</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发审委通过</w:t>
            </w:r>
          </w:p>
        </w:tc>
        <w:tc>
          <w:tcPr>
            <w:tcW w:w="91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8.70</w:t>
            </w:r>
          </w:p>
        </w:tc>
      </w:tr>
    </w:tbl>
    <w:p>
      <w:pPr>
        <w:spacing w:before="156" w:beforeLines="50" w:after="156" w:afterLines="50"/>
        <w:jc w:val="center"/>
        <w:rPr>
          <w:rFonts w:ascii="仿宋" w:hAnsi="仿宋" w:eastAsia="仿宋"/>
          <w:b/>
          <w:sz w:val="24"/>
        </w:rPr>
      </w:pPr>
      <w:r>
        <w:rPr>
          <w:rFonts w:ascii="仿宋" w:hAnsi="仿宋" w:eastAsia="仿宋"/>
          <w:b/>
          <w:sz w:val="24"/>
        </w:rPr>
        <w:t>表5　上市公司重大资产重组事项</w:t>
      </w:r>
    </w:p>
    <w:tbl>
      <w:tblPr>
        <w:tblStyle w:val="9"/>
        <w:tblW w:w="9923" w:type="dxa"/>
        <w:jc w:val="center"/>
        <w:tblLayout w:type="fixed"/>
        <w:tblCellMar>
          <w:top w:w="0" w:type="dxa"/>
          <w:left w:w="108" w:type="dxa"/>
          <w:bottom w:w="0" w:type="dxa"/>
          <w:right w:w="108" w:type="dxa"/>
        </w:tblCellMar>
      </w:tblPr>
      <w:tblGrid>
        <w:gridCol w:w="709"/>
        <w:gridCol w:w="1276"/>
        <w:gridCol w:w="1098"/>
        <w:gridCol w:w="1347"/>
        <w:gridCol w:w="1347"/>
        <w:gridCol w:w="1311"/>
        <w:gridCol w:w="1446"/>
        <w:gridCol w:w="1389"/>
      </w:tblGrid>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rPr>
            </w:pPr>
            <w:r>
              <w:rPr>
                <w:rFonts w:hint="eastAsia" w:ascii="仿宋" w:hAnsi="仿宋" w:eastAsia="仿宋"/>
                <w:b/>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证券代码</w:t>
            </w:r>
          </w:p>
        </w:tc>
        <w:tc>
          <w:tcPr>
            <w:tcW w:w="109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证券名称</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最新披露</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首次披露</w:t>
            </w:r>
          </w:p>
        </w:tc>
        <w:tc>
          <w:tcPr>
            <w:tcW w:w="131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参与方角色</w:t>
            </w:r>
          </w:p>
        </w:tc>
        <w:tc>
          <w:tcPr>
            <w:tcW w:w="14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重组进度</w:t>
            </w:r>
          </w:p>
        </w:tc>
        <w:tc>
          <w:tcPr>
            <w:tcW w:w="138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重组事件</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300701.SZ</w:t>
            </w:r>
          </w:p>
        </w:tc>
        <w:tc>
          <w:tcPr>
            <w:tcW w:w="109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森霸传感</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2023-05-23</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2023-05-23</w:t>
            </w:r>
          </w:p>
        </w:tc>
        <w:tc>
          <w:tcPr>
            <w:tcW w:w="131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竞买方</w:t>
            </w:r>
          </w:p>
        </w:tc>
        <w:tc>
          <w:tcPr>
            <w:tcW w:w="14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董事会预案</w:t>
            </w:r>
          </w:p>
        </w:tc>
        <w:tc>
          <w:tcPr>
            <w:tcW w:w="138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森霸传感收购格林通67%股权。</w:t>
            </w:r>
          </w:p>
        </w:tc>
      </w:tr>
    </w:tbl>
    <w:p>
      <w:pPr>
        <w:spacing w:before="156" w:beforeLines="50" w:after="120"/>
        <w:ind w:firstLine="562" w:firstLineChars="200"/>
        <w:rPr>
          <w:rFonts w:ascii="仿宋" w:hAnsi="仿宋" w:eastAsia="仿宋"/>
          <w:b/>
          <w:sz w:val="28"/>
          <w:szCs w:val="30"/>
        </w:rPr>
      </w:pPr>
      <w:r>
        <w:rPr>
          <w:rFonts w:ascii="仿宋" w:hAnsi="仿宋" w:eastAsia="仿宋"/>
          <w:b/>
          <w:sz w:val="28"/>
          <w:szCs w:val="30"/>
        </w:rPr>
        <w:t>3.</w:t>
      </w:r>
      <w:r>
        <w:rPr>
          <w:rFonts w:hint="eastAsia" w:ascii="仿宋" w:hAnsi="仿宋" w:eastAsia="仿宋"/>
          <w:b/>
          <w:sz w:val="28"/>
          <w:szCs w:val="30"/>
        </w:rPr>
        <w:t>业绩与</w:t>
      </w:r>
      <w:r>
        <w:rPr>
          <w:rFonts w:ascii="仿宋" w:hAnsi="仿宋" w:eastAsia="仿宋"/>
          <w:b/>
          <w:sz w:val="28"/>
          <w:szCs w:val="30"/>
        </w:rPr>
        <w:t>分红</w:t>
      </w:r>
    </w:p>
    <w:p>
      <w:pPr>
        <w:spacing w:before="156" w:beforeLines="50" w:after="156" w:afterLines="50"/>
        <w:ind w:firstLine="560" w:firstLineChars="200"/>
        <w:rPr>
          <w:rFonts w:ascii="仿宋" w:hAnsi="仿宋" w:eastAsia="仿宋"/>
          <w:sz w:val="28"/>
        </w:rPr>
      </w:pPr>
      <w:r>
        <w:rPr>
          <w:rFonts w:ascii="仿宋" w:hAnsi="仿宋" w:eastAsia="仿宋"/>
          <w:sz w:val="28"/>
        </w:rPr>
        <w:t>本月辖区内无披露业绩预告/快报</w:t>
      </w:r>
      <w:r>
        <w:rPr>
          <w:rFonts w:hint="eastAsia" w:ascii="仿宋" w:hAnsi="仿宋" w:eastAsia="仿宋"/>
          <w:sz w:val="28"/>
        </w:rPr>
        <w:t>；无分红派息事项。</w:t>
      </w:r>
    </w:p>
    <w:p>
      <w:pPr>
        <w:spacing w:after="120"/>
        <w:ind w:firstLine="562" w:firstLineChars="200"/>
        <w:rPr>
          <w:rFonts w:ascii="仿宋" w:hAnsi="仿宋" w:eastAsia="仿宋"/>
          <w:b/>
          <w:sz w:val="28"/>
          <w:szCs w:val="28"/>
        </w:rPr>
      </w:pPr>
      <w:r>
        <w:rPr>
          <w:rFonts w:ascii="仿宋" w:hAnsi="仿宋" w:eastAsia="仿宋"/>
          <w:b/>
          <w:sz w:val="28"/>
          <w:szCs w:val="28"/>
        </w:rPr>
        <w:t>4.增持与减持</w:t>
      </w:r>
    </w:p>
    <w:p>
      <w:pPr>
        <w:spacing w:before="156" w:beforeLines="50" w:after="156" w:afterLines="50"/>
        <w:jc w:val="center"/>
        <w:rPr>
          <w:rFonts w:ascii="仿宋" w:hAnsi="仿宋" w:eastAsia="仿宋"/>
          <w:b/>
          <w:sz w:val="24"/>
          <w:szCs w:val="30"/>
        </w:rPr>
      </w:pPr>
      <w:r>
        <w:rPr>
          <w:rFonts w:ascii="仿宋" w:hAnsi="仿宋" w:eastAsia="仿宋"/>
          <w:b/>
          <w:sz w:val="24"/>
          <w:szCs w:val="30"/>
        </w:rPr>
        <w:t>表6　股东增/减持公司股票事项</w:t>
      </w:r>
    </w:p>
    <w:tbl>
      <w:tblPr>
        <w:tblStyle w:val="9"/>
        <w:tblW w:w="8647" w:type="dxa"/>
        <w:jc w:val="center"/>
        <w:tblLayout w:type="fixed"/>
        <w:tblCellMar>
          <w:top w:w="0" w:type="dxa"/>
          <w:left w:w="108" w:type="dxa"/>
          <w:bottom w:w="0" w:type="dxa"/>
          <w:right w:w="108" w:type="dxa"/>
        </w:tblCellMar>
      </w:tblPr>
      <w:tblGrid>
        <w:gridCol w:w="796"/>
        <w:gridCol w:w="1266"/>
        <w:gridCol w:w="1281"/>
        <w:gridCol w:w="1134"/>
        <w:gridCol w:w="1559"/>
        <w:gridCol w:w="2611"/>
      </w:tblGrid>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发生日期</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261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2023-05-26</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832225.BJ</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利通科技</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61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2023-04-27至2023-05-26，漯河市祥鑫企业管理咨询合伙企业(有限合伙)减持32.1万股公司股份，平均减持价格为8.5419CNY。截止2023-05-30，持有股份数量为588.19万股，占流通股份总数比例为10.2%。</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2023-05-24</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61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2023-05-24，李小栓减持69万股公司股份：其中通过大宗交易系统减持69万股公司股份，平均减持价格为17.91CNY。截止2023-05-25，持有股份数量为286.31万股，占流通股份总数比例为2.24%。</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2023-05-22</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61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2023-05-22，李小栓减持107万股公司股份：其中通过大宗交易系统减持107万股公司股份，平均减持价格为17.31CNY。截止2023-05-25，持有股份数量为355.31万股，占流通股份总数比例为2.78%。</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2023-05-22</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600222.SH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太龙药业</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61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2023-04-03至2023-05-22，吴澜减持417.93万股公司股份。截止2023-05-23，持有股份数量为2879.77万股，占流通股份总数比例为5.02%。</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2023-05-19</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61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2023-05-19，李小栓减持80万股公司股份：其中通过大宗交易系统减持80万股公司股份，平均减持价格为18.06CNY。截止2023-05-25，持有股份数量为462.31万股，占流通股份总数比例为3.61%。</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6</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2023-05-19</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002582.SZ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好想你</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61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2023-05-18至2023-05-19，杭州浩丞实业有限公司减持35.99万股公司股份。截止2023-05-23，持有股份数量为2067.13万股，占流通股份总数比例为6.08%。</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7</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2023-05-18</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002560.SZ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通达股份</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61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2023-05-18，史万福减持1057.23万股公司股份：其中通过大宗交易系统减持1057.23万股公司股份。截止2023-05-20，持有股份数量为4885.72万股，占流通股份总数比例为10.78%。</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8</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2023-05-18</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61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2023-05-09至2023-05-18，武保福减持256万股公司股份：其中通过大宗交易系统减持256万股公司股份，平均减持价格为17.47CNY。截止2023-05-19，持有股份数量为272.81万股，占流通股份总数比例为2.13%。</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9</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2023-05-17</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002582.SZ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好想你</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61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2023-04-27至2023-05-17，杭州浩丞实业有限公司减持98.85万股公司股份。截止2023-05-18，持有股份数量为2103.12万股，占流通股份总数比例为6.19%。</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10</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2023-05-16</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61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2023-05-12至2023-05-16，刘清洋减持256万股公司股份：其中通过大宗交易系统减持256万股公司股份，平均减持价格为17.74CNY。截止2023-05-19，持有股份数量为286.31万股，占流通股份总数比例为2.24%。</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11</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2023-05-15</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688517.SH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金冠电气</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61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2023-02-28至2023-05-15，深圳市鼎汇通实业有限公司减持163.18万股公司股份。截止2023-05-19，持有股份数量为507.52万股，占流通股份总数比例为6.09%。</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12</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2023-05-10</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600186.SH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莲花健康</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61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-05-10，枞阳县莲兴企业服务管理中心合伙企业(有限合伙)减持3580万股公司股份：其中通过大宗交易系统减持3580万股公司股份，平均减持价格为2.9CNY。截止2023-05-12，持有股份数量为8932.25万股，占流通股份总数比例为4.98%。</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13</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2023-05-05</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002423.SZ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中粮资本</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61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2023-05-05，弘毅弘量(深圳)股权投资基金合伙企业(有限合伙)减持800万股公司股份，平均减持价格为9.03CNY。截止2023-05-08，持有股份数量为1.53亿股流通股份，占流通股份总数比例为6.66%。</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14</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2023-05-04</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301089.SZ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拓新药业</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261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2023-04-27至2023-05-04，北京新华联产业投资有限公司减持31.11万股公司股份：其中通过大宗交易系统减持31.11万股公司股份。截止2023-05-15，持有股份数量为561.77万股，占流通股份总数比例为7.29%。</w:t>
            </w:r>
          </w:p>
        </w:tc>
      </w:tr>
    </w:tbl>
    <w:p>
      <w:pPr>
        <w:spacing w:after="156" w:afterLines="50"/>
        <w:ind w:firstLine="562" w:firstLineChars="200"/>
        <w:rPr>
          <w:rFonts w:ascii="仿宋" w:hAnsi="仿宋" w:eastAsia="仿宋"/>
          <w:b/>
          <w:sz w:val="28"/>
          <w:szCs w:val="28"/>
        </w:rPr>
      </w:pPr>
    </w:p>
    <w:p>
      <w:pPr>
        <w:spacing w:after="156" w:afterLines="50"/>
        <w:ind w:firstLine="562" w:firstLineChars="200"/>
        <w:rPr>
          <w:rFonts w:ascii="仿宋" w:hAnsi="仿宋" w:eastAsia="仿宋"/>
          <w:b/>
          <w:sz w:val="28"/>
          <w:szCs w:val="28"/>
        </w:rPr>
      </w:pPr>
      <w:r>
        <w:rPr>
          <w:rFonts w:ascii="仿宋" w:hAnsi="仿宋" w:eastAsia="仿宋"/>
          <w:b/>
          <w:sz w:val="28"/>
          <w:szCs w:val="28"/>
        </w:rPr>
        <w:t>5.其他重大事项</w:t>
      </w:r>
    </w:p>
    <w:p>
      <w:pPr>
        <w:spacing w:before="156" w:beforeLines="50" w:after="156" w:afterLines="50"/>
        <w:jc w:val="center"/>
        <w:rPr>
          <w:rFonts w:ascii="仿宋" w:hAnsi="仿宋" w:eastAsia="仿宋"/>
          <w:b/>
          <w:sz w:val="24"/>
          <w:szCs w:val="30"/>
        </w:rPr>
      </w:pPr>
      <w:r>
        <w:rPr>
          <w:rFonts w:ascii="仿宋" w:hAnsi="仿宋" w:eastAsia="仿宋"/>
          <w:b/>
          <w:sz w:val="24"/>
          <w:szCs w:val="30"/>
        </w:rPr>
        <w:t>表7　5月董事长、董秘变动情况</w:t>
      </w:r>
    </w:p>
    <w:tbl>
      <w:tblPr>
        <w:tblStyle w:val="10"/>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1276"/>
        <w:gridCol w:w="1240"/>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Pr>
          <w:p>
            <w:pPr>
              <w:jc w:val="center"/>
              <w:rPr>
                <w:rFonts w:ascii="仿宋" w:hAnsi="仿宋" w:eastAsia="仿宋"/>
                <w:b/>
                <w:szCs w:val="21"/>
              </w:rPr>
            </w:pPr>
            <w:r>
              <w:rPr>
                <w:rFonts w:hint="eastAsia" w:ascii="仿宋" w:hAnsi="仿宋" w:eastAsia="仿宋"/>
                <w:b/>
                <w:szCs w:val="21"/>
              </w:rPr>
              <w:t>序号</w:t>
            </w:r>
          </w:p>
        </w:tc>
        <w:tc>
          <w:tcPr>
            <w:tcW w:w="1446" w:type="dxa"/>
          </w:tcPr>
          <w:p>
            <w:pPr>
              <w:jc w:val="center"/>
              <w:rPr>
                <w:rFonts w:ascii="仿宋" w:hAnsi="仿宋" w:eastAsia="仿宋"/>
                <w:b/>
                <w:szCs w:val="21"/>
              </w:rPr>
            </w:pPr>
            <w:r>
              <w:rPr>
                <w:rFonts w:hint="eastAsia" w:ascii="仿宋" w:hAnsi="仿宋" w:eastAsia="仿宋"/>
                <w:b/>
                <w:szCs w:val="21"/>
              </w:rPr>
              <w:t>披露日期</w:t>
            </w:r>
          </w:p>
        </w:tc>
        <w:tc>
          <w:tcPr>
            <w:tcW w:w="1276" w:type="dxa"/>
          </w:tcPr>
          <w:p>
            <w:pPr>
              <w:jc w:val="center"/>
              <w:rPr>
                <w:rFonts w:ascii="仿宋" w:hAnsi="仿宋" w:eastAsia="仿宋"/>
                <w:b/>
                <w:szCs w:val="21"/>
              </w:rPr>
            </w:pPr>
            <w:r>
              <w:rPr>
                <w:rFonts w:hint="eastAsia" w:ascii="仿宋" w:hAnsi="仿宋" w:eastAsia="仿宋"/>
                <w:b/>
                <w:szCs w:val="21"/>
              </w:rPr>
              <w:t>证券代码</w:t>
            </w:r>
          </w:p>
        </w:tc>
        <w:tc>
          <w:tcPr>
            <w:tcW w:w="1240" w:type="dxa"/>
          </w:tcPr>
          <w:p>
            <w:pPr>
              <w:jc w:val="center"/>
              <w:rPr>
                <w:rFonts w:ascii="仿宋" w:hAnsi="仿宋" w:eastAsia="仿宋"/>
                <w:b/>
                <w:szCs w:val="21"/>
              </w:rPr>
            </w:pPr>
            <w:r>
              <w:rPr>
                <w:rFonts w:hint="eastAsia" w:ascii="仿宋" w:hAnsi="仿宋" w:eastAsia="仿宋"/>
                <w:b/>
                <w:szCs w:val="21"/>
              </w:rPr>
              <w:t>证券名称</w:t>
            </w:r>
          </w:p>
        </w:tc>
        <w:tc>
          <w:tcPr>
            <w:tcW w:w="3723" w:type="dxa"/>
          </w:tcPr>
          <w:p>
            <w:pPr>
              <w:jc w:val="center"/>
              <w:rPr>
                <w:rFonts w:ascii="仿宋" w:hAnsi="仿宋" w:eastAsia="仿宋"/>
                <w:b/>
                <w:szCs w:val="21"/>
              </w:rPr>
            </w:pPr>
            <w:r>
              <w:rPr>
                <w:rFonts w:hint="eastAsia" w:ascii="仿宋" w:hAnsi="仿宋" w:eastAsia="仿宋"/>
                <w:b/>
                <w:szCs w:val="21"/>
              </w:rPr>
              <w:t>事件摘要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hint="eastAsia" w:ascii="仿宋" w:hAnsi="仿宋" w:eastAsia="仿宋"/>
                <w:szCs w:val="21"/>
              </w:rPr>
              <w:t>1</w:t>
            </w:r>
          </w:p>
        </w:tc>
        <w:tc>
          <w:tcPr>
            <w:tcW w:w="1446" w:type="dxa"/>
            <w:vAlign w:val="center"/>
          </w:tcPr>
          <w:p>
            <w:pPr>
              <w:jc w:val="center"/>
              <w:rPr>
                <w:rFonts w:ascii="仿宋" w:hAnsi="仿宋" w:eastAsia="仿宋"/>
                <w:szCs w:val="21"/>
              </w:rPr>
            </w:pPr>
            <w:r>
              <w:rPr>
                <w:rFonts w:hint="eastAsia" w:ascii="仿宋" w:hAnsi="仿宋" w:eastAsia="仿宋"/>
                <w:szCs w:val="21"/>
              </w:rPr>
              <w:t>2023-05-26</w:t>
            </w:r>
          </w:p>
        </w:tc>
        <w:tc>
          <w:tcPr>
            <w:tcW w:w="1276" w:type="dxa"/>
            <w:vAlign w:val="center"/>
          </w:tcPr>
          <w:p>
            <w:pPr>
              <w:jc w:val="center"/>
              <w:rPr>
                <w:rFonts w:ascii="仿宋" w:hAnsi="仿宋" w:eastAsia="仿宋"/>
                <w:szCs w:val="21"/>
              </w:rPr>
            </w:pPr>
            <w:r>
              <w:rPr>
                <w:rFonts w:hint="eastAsia" w:ascii="仿宋" w:hAnsi="仿宋" w:eastAsia="仿宋"/>
                <w:szCs w:val="21"/>
              </w:rPr>
              <w:t>600810.SH</w:t>
            </w:r>
          </w:p>
        </w:tc>
        <w:tc>
          <w:tcPr>
            <w:tcW w:w="1240" w:type="dxa"/>
            <w:vAlign w:val="center"/>
          </w:tcPr>
          <w:p>
            <w:pPr>
              <w:jc w:val="center"/>
              <w:rPr>
                <w:rFonts w:ascii="仿宋" w:hAnsi="仿宋" w:eastAsia="仿宋"/>
                <w:szCs w:val="21"/>
              </w:rPr>
            </w:pPr>
            <w:r>
              <w:rPr>
                <w:rFonts w:hint="eastAsia" w:ascii="仿宋" w:hAnsi="仿宋" w:eastAsia="仿宋"/>
                <w:szCs w:val="21"/>
              </w:rPr>
              <w:t>神马股份</w:t>
            </w:r>
          </w:p>
        </w:tc>
        <w:tc>
          <w:tcPr>
            <w:tcW w:w="3723" w:type="dxa"/>
            <w:vAlign w:val="center"/>
          </w:tcPr>
          <w:p>
            <w:pPr>
              <w:jc w:val="center"/>
              <w:rPr>
                <w:rFonts w:ascii="仿宋" w:hAnsi="仿宋" w:eastAsia="仿宋"/>
                <w:szCs w:val="21"/>
              </w:rPr>
            </w:pPr>
            <w:r>
              <w:rPr>
                <w:rFonts w:hint="eastAsia" w:ascii="仿宋" w:hAnsi="仿宋" w:eastAsia="仿宋"/>
                <w:szCs w:val="21"/>
              </w:rPr>
              <w:t>新聘代董事会秘书李伟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hint="eastAsia" w:ascii="仿宋" w:hAnsi="仿宋" w:eastAsia="仿宋"/>
                <w:szCs w:val="21"/>
              </w:rPr>
              <w:t>2</w:t>
            </w:r>
          </w:p>
        </w:tc>
        <w:tc>
          <w:tcPr>
            <w:tcW w:w="1446" w:type="dxa"/>
            <w:vAlign w:val="center"/>
          </w:tcPr>
          <w:p>
            <w:pPr>
              <w:jc w:val="center"/>
              <w:rPr>
                <w:rFonts w:ascii="仿宋" w:hAnsi="仿宋" w:eastAsia="仿宋"/>
                <w:szCs w:val="21"/>
              </w:rPr>
            </w:pPr>
            <w:r>
              <w:rPr>
                <w:rFonts w:hint="eastAsia" w:ascii="仿宋" w:hAnsi="仿宋" w:eastAsia="仿宋"/>
                <w:szCs w:val="21"/>
              </w:rPr>
              <w:t>2023-05-26</w:t>
            </w:r>
          </w:p>
        </w:tc>
        <w:tc>
          <w:tcPr>
            <w:tcW w:w="1276" w:type="dxa"/>
            <w:vAlign w:val="center"/>
          </w:tcPr>
          <w:p>
            <w:pPr>
              <w:jc w:val="center"/>
              <w:rPr>
                <w:rFonts w:ascii="仿宋" w:hAnsi="仿宋" w:eastAsia="仿宋"/>
                <w:szCs w:val="21"/>
              </w:rPr>
            </w:pPr>
            <w:r>
              <w:rPr>
                <w:rFonts w:hint="eastAsia" w:ascii="仿宋" w:hAnsi="仿宋" w:eastAsia="仿宋"/>
                <w:szCs w:val="21"/>
              </w:rPr>
              <w:t>600810.SH</w:t>
            </w:r>
          </w:p>
        </w:tc>
        <w:tc>
          <w:tcPr>
            <w:tcW w:w="1240" w:type="dxa"/>
            <w:vAlign w:val="center"/>
          </w:tcPr>
          <w:p>
            <w:pPr>
              <w:jc w:val="center"/>
              <w:rPr>
                <w:rFonts w:ascii="仿宋" w:hAnsi="仿宋" w:eastAsia="仿宋"/>
                <w:szCs w:val="21"/>
              </w:rPr>
            </w:pPr>
            <w:r>
              <w:rPr>
                <w:rFonts w:hint="eastAsia" w:ascii="仿宋" w:hAnsi="仿宋" w:eastAsia="仿宋"/>
                <w:szCs w:val="21"/>
              </w:rPr>
              <w:t>神马股份</w:t>
            </w:r>
          </w:p>
        </w:tc>
        <w:tc>
          <w:tcPr>
            <w:tcW w:w="3723" w:type="dxa"/>
            <w:vAlign w:val="center"/>
          </w:tcPr>
          <w:p>
            <w:pPr>
              <w:jc w:val="center"/>
              <w:rPr>
                <w:rFonts w:ascii="仿宋" w:hAnsi="仿宋" w:eastAsia="仿宋"/>
                <w:szCs w:val="21"/>
              </w:rPr>
            </w:pPr>
            <w:r>
              <w:rPr>
                <w:rFonts w:hint="eastAsia" w:ascii="仿宋" w:hAnsi="仿宋" w:eastAsia="仿宋"/>
                <w:szCs w:val="21"/>
              </w:rPr>
              <w:t>代董事会秘书路伟离任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hint="eastAsia" w:ascii="仿宋" w:hAnsi="仿宋" w:eastAsia="仿宋"/>
                <w:szCs w:val="21"/>
              </w:rPr>
              <w:t>3</w:t>
            </w:r>
          </w:p>
        </w:tc>
        <w:tc>
          <w:tcPr>
            <w:tcW w:w="1446" w:type="dxa"/>
            <w:vAlign w:val="center"/>
          </w:tcPr>
          <w:p>
            <w:pPr>
              <w:jc w:val="center"/>
              <w:rPr>
                <w:rFonts w:ascii="仿宋" w:hAnsi="仿宋" w:eastAsia="仿宋"/>
                <w:szCs w:val="21"/>
              </w:rPr>
            </w:pPr>
            <w:r>
              <w:rPr>
                <w:rFonts w:hint="eastAsia" w:ascii="仿宋" w:hAnsi="仿宋" w:eastAsia="仿宋"/>
                <w:szCs w:val="21"/>
              </w:rPr>
              <w:t>2023-05-22</w:t>
            </w:r>
          </w:p>
        </w:tc>
        <w:tc>
          <w:tcPr>
            <w:tcW w:w="1276" w:type="dxa"/>
            <w:vAlign w:val="center"/>
          </w:tcPr>
          <w:p>
            <w:pPr>
              <w:jc w:val="center"/>
              <w:rPr>
                <w:rFonts w:ascii="仿宋" w:hAnsi="仿宋" w:eastAsia="仿宋"/>
                <w:szCs w:val="21"/>
              </w:rPr>
            </w:pPr>
            <w:r>
              <w:rPr>
                <w:rFonts w:hint="eastAsia" w:ascii="仿宋" w:hAnsi="仿宋" w:eastAsia="仿宋"/>
                <w:szCs w:val="21"/>
              </w:rPr>
              <w:t>300248.SZ</w:t>
            </w:r>
          </w:p>
        </w:tc>
        <w:tc>
          <w:tcPr>
            <w:tcW w:w="1240" w:type="dxa"/>
            <w:vAlign w:val="center"/>
          </w:tcPr>
          <w:p>
            <w:pPr>
              <w:jc w:val="center"/>
              <w:rPr>
                <w:rFonts w:ascii="仿宋" w:hAnsi="仿宋" w:eastAsia="仿宋"/>
                <w:szCs w:val="21"/>
              </w:rPr>
            </w:pPr>
            <w:r>
              <w:rPr>
                <w:rFonts w:hint="eastAsia" w:ascii="仿宋" w:hAnsi="仿宋" w:eastAsia="仿宋"/>
                <w:szCs w:val="21"/>
              </w:rPr>
              <w:t>新开普</w:t>
            </w:r>
          </w:p>
        </w:tc>
        <w:tc>
          <w:tcPr>
            <w:tcW w:w="3723" w:type="dxa"/>
            <w:vAlign w:val="center"/>
          </w:tcPr>
          <w:p>
            <w:pPr>
              <w:jc w:val="center"/>
              <w:rPr>
                <w:rFonts w:ascii="仿宋" w:hAnsi="仿宋" w:eastAsia="仿宋"/>
                <w:szCs w:val="21"/>
              </w:rPr>
            </w:pPr>
            <w:r>
              <w:rPr>
                <w:rFonts w:hint="eastAsia" w:ascii="仿宋" w:hAnsi="仿宋" w:eastAsia="仿宋"/>
                <w:szCs w:val="21"/>
              </w:rPr>
              <w:t>代董事长李玉玲离任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hint="eastAsia" w:ascii="仿宋" w:hAnsi="仿宋" w:eastAsia="仿宋"/>
                <w:szCs w:val="21"/>
              </w:rPr>
              <w:t>4</w:t>
            </w:r>
          </w:p>
        </w:tc>
        <w:tc>
          <w:tcPr>
            <w:tcW w:w="1446" w:type="dxa"/>
            <w:vAlign w:val="center"/>
          </w:tcPr>
          <w:p>
            <w:pPr>
              <w:jc w:val="center"/>
              <w:rPr>
                <w:rFonts w:ascii="仿宋" w:hAnsi="仿宋" w:eastAsia="仿宋"/>
                <w:szCs w:val="21"/>
              </w:rPr>
            </w:pPr>
            <w:r>
              <w:rPr>
                <w:rFonts w:hint="eastAsia" w:ascii="仿宋" w:hAnsi="仿宋" w:eastAsia="仿宋"/>
                <w:szCs w:val="21"/>
              </w:rPr>
              <w:t>2023-05-19</w:t>
            </w:r>
          </w:p>
        </w:tc>
        <w:tc>
          <w:tcPr>
            <w:tcW w:w="1276" w:type="dxa"/>
            <w:vAlign w:val="center"/>
          </w:tcPr>
          <w:p>
            <w:pPr>
              <w:jc w:val="center"/>
              <w:rPr>
                <w:rFonts w:ascii="仿宋" w:hAnsi="仿宋" w:eastAsia="仿宋"/>
                <w:szCs w:val="21"/>
              </w:rPr>
            </w:pPr>
            <w:r>
              <w:rPr>
                <w:rFonts w:hint="eastAsia" w:ascii="仿宋" w:hAnsi="仿宋" w:eastAsia="仿宋"/>
                <w:szCs w:val="21"/>
              </w:rPr>
              <w:t>000933.SZ</w:t>
            </w:r>
          </w:p>
        </w:tc>
        <w:tc>
          <w:tcPr>
            <w:tcW w:w="1240" w:type="dxa"/>
            <w:vAlign w:val="center"/>
          </w:tcPr>
          <w:p>
            <w:pPr>
              <w:jc w:val="center"/>
              <w:rPr>
                <w:rFonts w:ascii="仿宋" w:hAnsi="仿宋" w:eastAsia="仿宋"/>
                <w:szCs w:val="21"/>
              </w:rPr>
            </w:pPr>
            <w:r>
              <w:rPr>
                <w:rFonts w:hint="eastAsia" w:ascii="仿宋" w:hAnsi="仿宋" w:eastAsia="仿宋"/>
                <w:szCs w:val="21"/>
              </w:rPr>
              <w:t>神火股份</w:t>
            </w:r>
          </w:p>
        </w:tc>
        <w:tc>
          <w:tcPr>
            <w:tcW w:w="3723" w:type="dxa"/>
            <w:vAlign w:val="center"/>
          </w:tcPr>
          <w:p>
            <w:pPr>
              <w:jc w:val="center"/>
              <w:rPr>
                <w:rFonts w:ascii="仿宋" w:hAnsi="仿宋" w:eastAsia="仿宋"/>
                <w:szCs w:val="21"/>
              </w:rPr>
            </w:pPr>
            <w:r>
              <w:rPr>
                <w:rFonts w:hint="eastAsia" w:ascii="仿宋" w:hAnsi="仿宋" w:eastAsia="仿宋"/>
                <w:szCs w:val="21"/>
              </w:rPr>
              <w:t>董事会秘书吴长伟离任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446" w:type="dxa"/>
            <w:vAlign w:val="center"/>
          </w:tcPr>
          <w:p>
            <w:pPr>
              <w:jc w:val="center"/>
              <w:rPr>
                <w:rFonts w:ascii="仿宋" w:hAnsi="仿宋" w:eastAsia="仿宋"/>
                <w:szCs w:val="21"/>
              </w:rPr>
            </w:pPr>
            <w:r>
              <w:rPr>
                <w:rFonts w:hint="eastAsia" w:ascii="仿宋" w:hAnsi="仿宋" w:eastAsia="仿宋"/>
                <w:szCs w:val="21"/>
              </w:rPr>
              <w:t>2023-05-19</w:t>
            </w:r>
          </w:p>
        </w:tc>
        <w:tc>
          <w:tcPr>
            <w:tcW w:w="1276" w:type="dxa"/>
            <w:vAlign w:val="center"/>
          </w:tcPr>
          <w:p>
            <w:pPr>
              <w:jc w:val="center"/>
              <w:rPr>
                <w:rFonts w:ascii="仿宋" w:hAnsi="仿宋" w:eastAsia="仿宋"/>
                <w:szCs w:val="21"/>
              </w:rPr>
            </w:pPr>
            <w:r>
              <w:rPr>
                <w:rFonts w:hint="eastAsia" w:ascii="仿宋" w:hAnsi="仿宋" w:eastAsia="仿宋"/>
                <w:szCs w:val="21"/>
              </w:rPr>
              <w:t>301071.SZ</w:t>
            </w:r>
          </w:p>
        </w:tc>
        <w:tc>
          <w:tcPr>
            <w:tcW w:w="1240" w:type="dxa"/>
            <w:vAlign w:val="center"/>
          </w:tcPr>
          <w:p>
            <w:pPr>
              <w:jc w:val="center"/>
              <w:rPr>
                <w:rFonts w:ascii="仿宋" w:hAnsi="仿宋" w:eastAsia="仿宋"/>
                <w:szCs w:val="21"/>
              </w:rPr>
            </w:pPr>
            <w:r>
              <w:rPr>
                <w:rFonts w:hint="eastAsia" w:ascii="仿宋" w:hAnsi="仿宋" w:eastAsia="仿宋"/>
                <w:szCs w:val="21"/>
              </w:rPr>
              <w:t>力量钻石</w:t>
            </w:r>
          </w:p>
        </w:tc>
        <w:tc>
          <w:tcPr>
            <w:tcW w:w="3723" w:type="dxa"/>
            <w:vAlign w:val="center"/>
          </w:tcPr>
          <w:p>
            <w:pPr>
              <w:jc w:val="center"/>
              <w:rPr>
                <w:rFonts w:ascii="仿宋" w:hAnsi="仿宋" w:eastAsia="仿宋"/>
                <w:szCs w:val="21"/>
              </w:rPr>
            </w:pPr>
            <w:r>
              <w:rPr>
                <w:rFonts w:hint="eastAsia" w:ascii="仿宋" w:hAnsi="仿宋" w:eastAsia="仿宋"/>
                <w:szCs w:val="21"/>
              </w:rPr>
              <w:t>董事会秘书童越离任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hint="eastAsia" w:ascii="仿宋" w:hAnsi="仿宋" w:eastAsia="仿宋"/>
                <w:szCs w:val="21"/>
              </w:rPr>
              <w:t>6</w:t>
            </w:r>
          </w:p>
        </w:tc>
        <w:tc>
          <w:tcPr>
            <w:tcW w:w="1446" w:type="dxa"/>
            <w:vAlign w:val="center"/>
          </w:tcPr>
          <w:p>
            <w:pPr>
              <w:jc w:val="center"/>
              <w:rPr>
                <w:rFonts w:ascii="仿宋" w:hAnsi="仿宋" w:eastAsia="仿宋"/>
                <w:szCs w:val="21"/>
              </w:rPr>
            </w:pPr>
            <w:r>
              <w:rPr>
                <w:rFonts w:hint="eastAsia" w:ascii="仿宋" w:hAnsi="仿宋" w:eastAsia="仿宋"/>
                <w:szCs w:val="21"/>
              </w:rPr>
              <w:t>2023-05-19</w:t>
            </w:r>
          </w:p>
        </w:tc>
        <w:tc>
          <w:tcPr>
            <w:tcW w:w="1276" w:type="dxa"/>
            <w:vAlign w:val="center"/>
          </w:tcPr>
          <w:p>
            <w:pPr>
              <w:jc w:val="center"/>
              <w:rPr>
                <w:rFonts w:ascii="仿宋" w:hAnsi="仿宋" w:eastAsia="仿宋"/>
                <w:szCs w:val="21"/>
              </w:rPr>
            </w:pPr>
            <w:r>
              <w:rPr>
                <w:rFonts w:hint="eastAsia" w:ascii="仿宋" w:hAnsi="仿宋" w:eastAsia="仿宋"/>
                <w:szCs w:val="21"/>
              </w:rPr>
              <w:t>301071.SZ</w:t>
            </w:r>
          </w:p>
        </w:tc>
        <w:tc>
          <w:tcPr>
            <w:tcW w:w="1240" w:type="dxa"/>
            <w:vAlign w:val="center"/>
          </w:tcPr>
          <w:p>
            <w:pPr>
              <w:jc w:val="center"/>
              <w:rPr>
                <w:rFonts w:ascii="仿宋" w:hAnsi="仿宋" w:eastAsia="仿宋"/>
                <w:szCs w:val="21"/>
              </w:rPr>
            </w:pPr>
            <w:r>
              <w:rPr>
                <w:rFonts w:hint="eastAsia" w:ascii="仿宋" w:hAnsi="仿宋" w:eastAsia="仿宋"/>
                <w:szCs w:val="21"/>
              </w:rPr>
              <w:t>力量钻石</w:t>
            </w:r>
          </w:p>
        </w:tc>
        <w:tc>
          <w:tcPr>
            <w:tcW w:w="3723" w:type="dxa"/>
            <w:vAlign w:val="center"/>
          </w:tcPr>
          <w:p>
            <w:pPr>
              <w:jc w:val="center"/>
              <w:rPr>
                <w:rFonts w:ascii="仿宋" w:hAnsi="仿宋" w:eastAsia="仿宋"/>
                <w:szCs w:val="21"/>
              </w:rPr>
            </w:pPr>
            <w:r>
              <w:rPr>
                <w:rFonts w:hint="eastAsia" w:ascii="仿宋" w:hAnsi="仿宋" w:eastAsia="仿宋"/>
                <w:szCs w:val="21"/>
              </w:rPr>
              <w:t>新聘代董事会秘书邵增明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hint="eastAsia" w:ascii="仿宋" w:hAnsi="仿宋" w:eastAsia="仿宋"/>
                <w:szCs w:val="21"/>
              </w:rPr>
              <w:t>7</w:t>
            </w:r>
          </w:p>
        </w:tc>
        <w:tc>
          <w:tcPr>
            <w:tcW w:w="1446" w:type="dxa"/>
            <w:vAlign w:val="center"/>
          </w:tcPr>
          <w:p>
            <w:pPr>
              <w:jc w:val="center"/>
              <w:rPr>
                <w:rFonts w:ascii="仿宋" w:hAnsi="仿宋" w:eastAsia="仿宋"/>
                <w:szCs w:val="21"/>
              </w:rPr>
            </w:pPr>
            <w:r>
              <w:rPr>
                <w:rFonts w:hint="eastAsia" w:ascii="仿宋" w:hAnsi="仿宋" w:eastAsia="仿宋"/>
                <w:szCs w:val="21"/>
              </w:rPr>
              <w:t>2023-05-15</w:t>
            </w:r>
          </w:p>
        </w:tc>
        <w:tc>
          <w:tcPr>
            <w:tcW w:w="1276" w:type="dxa"/>
            <w:vAlign w:val="center"/>
          </w:tcPr>
          <w:p>
            <w:pPr>
              <w:jc w:val="center"/>
              <w:rPr>
                <w:rFonts w:ascii="仿宋" w:hAnsi="仿宋" w:eastAsia="仿宋"/>
                <w:szCs w:val="21"/>
              </w:rPr>
            </w:pPr>
            <w:r>
              <w:rPr>
                <w:rFonts w:hint="eastAsia" w:ascii="仿宋" w:hAnsi="仿宋" w:eastAsia="仿宋"/>
                <w:szCs w:val="21"/>
              </w:rPr>
              <w:t>001896.SZ</w:t>
            </w:r>
          </w:p>
        </w:tc>
        <w:tc>
          <w:tcPr>
            <w:tcW w:w="1240" w:type="dxa"/>
            <w:vAlign w:val="center"/>
          </w:tcPr>
          <w:p>
            <w:pPr>
              <w:jc w:val="center"/>
              <w:rPr>
                <w:rFonts w:ascii="仿宋" w:hAnsi="仿宋" w:eastAsia="仿宋"/>
                <w:szCs w:val="21"/>
              </w:rPr>
            </w:pPr>
            <w:r>
              <w:rPr>
                <w:rFonts w:hint="eastAsia" w:ascii="仿宋" w:hAnsi="仿宋" w:eastAsia="仿宋"/>
                <w:szCs w:val="21"/>
              </w:rPr>
              <w:t>豫能控股</w:t>
            </w:r>
          </w:p>
        </w:tc>
        <w:tc>
          <w:tcPr>
            <w:tcW w:w="3723" w:type="dxa"/>
            <w:vAlign w:val="center"/>
          </w:tcPr>
          <w:p>
            <w:pPr>
              <w:jc w:val="center"/>
              <w:rPr>
                <w:rFonts w:ascii="仿宋" w:hAnsi="仿宋" w:eastAsia="仿宋"/>
                <w:szCs w:val="21"/>
              </w:rPr>
            </w:pPr>
            <w:r>
              <w:rPr>
                <w:rFonts w:hint="eastAsia" w:ascii="仿宋" w:hAnsi="仿宋" w:eastAsia="仿宋"/>
                <w:szCs w:val="21"/>
              </w:rPr>
              <w:t>新聘董事会秘书李琳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hint="eastAsia" w:ascii="仿宋" w:hAnsi="仿宋" w:eastAsia="仿宋"/>
                <w:szCs w:val="21"/>
              </w:rPr>
              <w:t>8</w:t>
            </w:r>
          </w:p>
        </w:tc>
        <w:tc>
          <w:tcPr>
            <w:tcW w:w="1446" w:type="dxa"/>
            <w:vAlign w:val="center"/>
          </w:tcPr>
          <w:p>
            <w:pPr>
              <w:jc w:val="center"/>
              <w:rPr>
                <w:rFonts w:ascii="仿宋" w:hAnsi="仿宋" w:eastAsia="仿宋"/>
                <w:szCs w:val="21"/>
              </w:rPr>
            </w:pPr>
            <w:r>
              <w:rPr>
                <w:rFonts w:hint="eastAsia" w:ascii="仿宋" w:hAnsi="仿宋" w:eastAsia="仿宋"/>
                <w:szCs w:val="21"/>
              </w:rPr>
              <w:t>2023-05-15</w:t>
            </w:r>
          </w:p>
        </w:tc>
        <w:tc>
          <w:tcPr>
            <w:tcW w:w="1276" w:type="dxa"/>
            <w:vAlign w:val="center"/>
          </w:tcPr>
          <w:p>
            <w:pPr>
              <w:jc w:val="center"/>
              <w:rPr>
                <w:rFonts w:ascii="仿宋" w:hAnsi="仿宋" w:eastAsia="仿宋"/>
                <w:szCs w:val="21"/>
              </w:rPr>
            </w:pPr>
            <w:r>
              <w:rPr>
                <w:rFonts w:hint="eastAsia" w:ascii="仿宋" w:hAnsi="仿宋" w:eastAsia="仿宋"/>
                <w:szCs w:val="21"/>
              </w:rPr>
              <w:t>001896.SZ</w:t>
            </w:r>
          </w:p>
        </w:tc>
        <w:tc>
          <w:tcPr>
            <w:tcW w:w="1240" w:type="dxa"/>
            <w:vAlign w:val="center"/>
          </w:tcPr>
          <w:p>
            <w:pPr>
              <w:jc w:val="center"/>
              <w:rPr>
                <w:rFonts w:ascii="仿宋" w:hAnsi="仿宋" w:eastAsia="仿宋"/>
                <w:szCs w:val="21"/>
              </w:rPr>
            </w:pPr>
            <w:r>
              <w:rPr>
                <w:rFonts w:hint="eastAsia" w:ascii="仿宋" w:hAnsi="仿宋" w:eastAsia="仿宋"/>
                <w:szCs w:val="21"/>
              </w:rPr>
              <w:t>豫能控股</w:t>
            </w:r>
          </w:p>
        </w:tc>
        <w:tc>
          <w:tcPr>
            <w:tcW w:w="3723" w:type="dxa"/>
            <w:vAlign w:val="center"/>
          </w:tcPr>
          <w:p>
            <w:pPr>
              <w:jc w:val="center"/>
              <w:rPr>
                <w:rFonts w:ascii="仿宋" w:hAnsi="仿宋" w:eastAsia="仿宋"/>
                <w:szCs w:val="21"/>
              </w:rPr>
            </w:pPr>
            <w:r>
              <w:rPr>
                <w:rFonts w:hint="eastAsia" w:ascii="仿宋" w:hAnsi="仿宋" w:eastAsia="仿宋"/>
                <w:szCs w:val="21"/>
              </w:rPr>
              <w:t>董事会秘书王萍离任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hint="eastAsia" w:ascii="仿宋" w:hAnsi="仿宋" w:eastAsia="仿宋"/>
                <w:szCs w:val="21"/>
              </w:rPr>
              <w:t>9</w:t>
            </w:r>
          </w:p>
        </w:tc>
        <w:tc>
          <w:tcPr>
            <w:tcW w:w="1446" w:type="dxa"/>
            <w:vAlign w:val="center"/>
          </w:tcPr>
          <w:p>
            <w:pPr>
              <w:jc w:val="center"/>
              <w:rPr>
                <w:rFonts w:ascii="仿宋" w:hAnsi="仿宋" w:eastAsia="仿宋"/>
                <w:szCs w:val="21"/>
              </w:rPr>
            </w:pPr>
            <w:r>
              <w:rPr>
                <w:rFonts w:hint="eastAsia" w:ascii="仿宋" w:hAnsi="仿宋" w:eastAsia="仿宋"/>
                <w:szCs w:val="21"/>
              </w:rPr>
              <w:t>2023-05-09</w:t>
            </w:r>
          </w:p>
        </w:tc>
        <w:tc>
          <w:tcPr>
            <w:tcW w:w="1276" w:type="dxa"/>
            <w:vAlign w:val="center"/>
          </w:tcPr>
          <w:p>
            <w:pPr>
              <w:jc w:val="center"/>
              <w:rPr>
                <w:rFonts w:ascii="仿宋" w:hAnsi="仿宋" w:eastAsia="仿宋"/>
                <w:szCs w:val="21"/>
              </w:rPr>
            </w:pPr>
            <w:r>
              <w:rPr>
                <w:rFonts w:hint="eastAsia" w:ascii="仿宋" w:hAnsi="仿宋" w:eastAsia="仿宋"/>
                <w:szCs w:val="21"/>
              </w:rPr>
              <w:t>600121.SH</w:t>
            </w:r>
          </w:p>
        </w:tc>
        <w:tc>
          <w:tcPr>
            <w:tcW w:w="1240" w:type="dxa"/>
            <w:vAlign w:val="center"/>
          </w:tcPr>
          <w:p>
            <w:pPr>
              <w:jc w:val="center"/>
              <w:rPr>
                <w:rFonts w:ascii="仿宋" w:hAnsi="仿宋" w:eastAsia="仿宋"/>
                <w:szCs w:val="21"/>
              </w:rPr>
            </w:pPr>
            <w:r>
              <w:rPr>
                <w:rFonts w:hint="eastAsia" w:ascii="仿宋" w:hAnsi="仿宋" w:eastAsia="仿宋"/>
                <w:szCs w:val="21"/>
              </w:rPr>
              <w:t>郑州煤电</w:t>
            </w:r>
          </w:p>
        </w:tc>
        <w:tc>
          <w:tcPr>
            <w:tcW w:w="3723" w:type="dxa"/>
            <w:vAlign w:val="center"/>
          </w:tcPr>
          <w:p>
            <w:pPr>
              <w:jc w:val="center"/>
              <w:rPr>
                <w:rFonts w:ascii="仿宋" w:hAnsi="仿宋" w:eastAsia="仿宋"/>
                <w:szCs w:val="21"/>
              </w:rPr>
            </w:pPr>
            <w:r>
              <w:rPr>
                <w:rFonts w:hint="eastAsia" w:ascii="仿宋" w:hAnsi="仿宋" w:eastAsia="仿宋"/>
                <w:szCs w:val="21"/>
              </w:rPr>
              <w:t>董事长于泽阳离任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hint="eastAsia" w:ascii="仿宋" w:hAnsi="仿宋" w:eastAsia="仿宋"/>
                <w:szCs w:val="21"/>
              </w:rPr>
              <w:t>10</w:t>
            </w:r>
          </w:p>
        </w:tc>
        <w:tc>
          <w:tcPr>
            <w:tcW w:w="1446" w:type="dxa"/>
            <w:vAlign w:val="center"/>
          </w:tcPr>
          <w:p>
            <w:pPr>
              <w:jc w:val="center"/>
              <w:rPr>
                <w:rFonts w:ascii="仿宋" w:hAnsi="仿宋" w:eastAsia="仿宋"/>
                <w:szCs w:val="21"/>
              </w:rPr>
            </w:pPr>
            <w:r>
              <w:rPr>
                <w:rFonts w:hint="eastAsia" w:ascii="仿宋" w:hAnsi="仿宋" w:eastAsia="仿宋"/>
                <w:szCs w:val="21"/>
              </w:rPr>
              <w:t>2023-05-09</w:t>
            </w:r>
          </w:p>
        </w:tc>
        <w:tc>
          <w:tcPr>
            <w:tcW w:w="1276" w:type="dxa"/>
            <w:vAlign w:val="center"/>
          </w:tcPr>
          <w:p>
            <w:pPr>
              <w:jc w:val="center"/>
              <w:rPr>
                <w:rFonts w:ascii="仿宋" w:hAnsi="仿宋" w:eastAsia="仿宋"/>
                <w:szCs w:val="21"/>
              </w:rPr>
            </w:pPr>
            <w:r>
              <w:rPr>
                <w:rFonts w:hint="eastAsia" w:ascii="仿宋" w:hAnsi="仿宋" w:eastAsia="仿宋"/>
                <w:szCs w:val="21"/>
              </w:rPr>
              <w:t>688119.SH</w:t>
            </w:r>
          </w:p>
        </w:tc>
        <w:tc>
          <w:tcPr>
            <w:tcW w:w="1240" w:type="dxa"/>
            <w:vAlign w:val="center"/>
          </w:tcPr>
          <w:p>
            <w:pPr>
              <w:jc w:val="center"/>
              <w:rPr>
                <w:rFonts w:ascii="仿宋" w:hAnsi="仿宋" w:eastAsia="仿宋"/>
                <w:szCs w:val="21"/>
              </w:rPr>
            </w:pPr>
            <w:r>
              <w:rPr>
                <w:rFonts w:hint="eastAsia" w:ascii="仿宋" w:hAnsi="仿宋" w:eastAsia="仿宋"/>
                <w:szCs w:val="21"/>
              </w:rPr>
              <w:t>中钢洛耐</w:t>
            </w:r>
          </w:p>
        </w:tc>
        <w:tc>
          <w:tcPr>
            <w:tcW w:w="3723" w:type="dxa"/>
            <w:vAlign w:val="center"/>
          </w:tcPr>
          <w:p>
            <w:pPr>
              <w:jc w:val="center"/>
              <w:rPr>
                <w:rFonts w:ascii="仿宋" w:hAnsi="仿宋" w:eastAsia="仿宋"/>
                <w:szCs w:val="21"/>
              </w:rPr>
            </w:pPr>
            <w:r>
              <w:rPr>
                <w:rFonts w:hint="eastAsia" w:ascii="仿宋" w:hAnsi="仿宋" w:eastAsia="仿宋"/>
                <w:szCs w:val="21"/>
              </w:rPr>
              <w:t>董事长李国富离任</w:t>
            </w:r>
          </w:p>
        </w:tc>
      </w:tr>
    </w:tbl>
    <w:p>
      <w:pPr>
        <w:spacing w:before="156" w:beforeLines="50" w:after="156" w:afterLines="50"/>
        <w:jc w:val="center"/>
        <w:rPr>
          <w:rFonts w:ascii="仿宋" w:hAnsi="仿宋" w:eastAsia="仿宋"/>
          <w:b/>
          <w:sz w:val="24"/>
          <w:szCs w:val="30"/>
        </w:rPr>
      </w:pPr>
      <w:r>
        <w:rPr>
          <w:rFonts w:hint="eastAsia" w:ascii="仿宋" w:hAnsi="仿宋" w:eastAsia="仿宋"/>
          <w:b/>
          <w:sz w:val="24"/>
          <w:szCs w:val="30"/>
        </w:rPr>
        <w:t>表8　重大项目情况表</w:t>
      </w:r>
    </w:p>
    <w:tbl>
      <w:tblPr>
        <w:tblStyle w:val="9"/>
        <w:tblW w:w="8359" w:type="dxa"/>
        <w:jc w:val="center"/>
        <w:tblLayout w:type="fixed"/>
        <w:tblCellMar>
          <w:top w:w="0" w:type="dxa"/>
          <w:left w:w="108" w:type="dxa"/>
          <w:bottom w:w="0" w:type="dxa"/>
          <w:right w:w="108" w:type="dxa"/>
        </w:tblCellMar>
      </w:tblPr>
      <w:tblGrid>
        <w:gridCol w:w="709"/>
        <w:gridCol w:w="1163"/>
        <w:gridCol w:w="1134"/>
        <w:gridCol w:w="1134"/>
        <w:gridCol w:w="1384"/>
        <w:gridCol w:w="2835"/>
      </w:tblGrid>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138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002431.SZ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棕榈股份</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38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2023-05-26</w:t>
            </w:r>
          </w:p>
        </w:tc>
        <w:tc>
          <w:tcPr>
            <w:tcW w:w="283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棕榈生态城镇发展股份有限公司(以下简称“公司”)于2023年5月24日收到“濮阳市示范区总部大厦B座(第一标段)”的《中标通知书》,确认公司与上海颐景建筑设计有限公司所组成的联合体为本项目的中标单位。</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688517.SH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金冠电气</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38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2023-05-18</w:t>
            </w:r>
          </w:p>
        </w:tc>
        <w:tc>
          <w:tcPr>
            <w:tcW w:w="283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广盛建安建设工程有限公司(以下简称“广盛建安”)、河南锦冠电力工程有限公司(以下简称“锦冠电力”)、金冠电气股份有限公司(以下简称“公司”)全资子公司南阳金冠智能开关有限公司(以下简称“智能开关”)组成的联合体在本项目中标。</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002431.SZ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棕榈股份</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38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2023-05-11</w:t>
            </w:r>
          </w:p>
        </w:tc>
        <w:tc>
          <w:tcPr>
            <w:tcW w:w="283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棕榈生态城镇发展股份有限公司（以下简称“公司”）于2023年5月10日收到“三亚崖州湾南繁科技城绿廊生态修复工程二期设计、施工总承包项目”的《中标通知书》。</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600312.SH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平高电气</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38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2023-05-08</w:t>
            </w:r>
          </w:p>
        </w:tc>
        <w:tc>
          <w:tcPr>
            <w:tcW w:w="283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日前,国家电网有限公司电子商务平台发布了“国家电网有限公司2023年第二十一批采购(输变电项目第二次变电设备(含电缆)招标采购)中标公告”、“国家电网有限公司2023年第二十二批采购(输变电项目第二次变电设备单一来源采购)成交公告”。河南平高电气股份有限公司(以下简称“公司”)及子公司、合营公司为相关项目中标单位,中标金额合计约为11.90亿元,占2022年营业收入的12.83%。</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688517.SH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金冠电气</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38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2023-05-05</w:t>
            </w:r>
          </w:p>
        </w:tc>
        <w:tc>
          <w:tcPr>
            <w:tcW w:w="283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近日,国家电网有限公司电子商务平台发布中标候选人公示,金冠电气股份有限公司(以下简称“公司”)及全资子公司南阳金冠智能开关有限公司合计中标3,325.15万元。</w:t>
            </w:r>
          </w:p>
        </w:tc>
      </w:tr>
    </w:tbl>
    <w:p>
      <w:pPr>
        <w:spacing w:before="156" w:beforeLines="50" w:after="156" w:afterLines="50"/>
        <w:rPr>
          <w:rFonts w:ascii="楷体" w:hAnsi="楷体" w:eastAsia="楷体" w:cs="Calibri"/>
          <w:b/>
          <w:sz w:val="28"/>
        </w:rPr>
      </w:pPr>
      <w:r>
        <w:rPr>
          <w:rFonts w:hint="eastAsia" w:ascii="仿宋" w:hAnsi="仿宋" w:eastAsia="仿宋"/>
          <w:b/>
          <w:sz w:val="28"/>
        </w:rPr>
        <w:t>六、上市公司五月违规案例精选</w:t>
      </w:r>
    </w:p>
    <w:p>
      <w:pPr>
        <w:spacing w:line="360" w:lineRule="auto"/>
        <w:ind w:firstLine="562" w:firstLineChars="200"/>
        <w:rPr>
          <w:rFonts w:ascii="仿宋" w:hAnsi="仿宋" w:eastAsia="仿宋" w:cs="仿宋"/>
          <w:color w:val="000000"/>
          <w:sz w:val="28"/>
          <w:szCs w:val="28"/>
        </w:rPr>
      </w:pPr>
      <w:r>
        <w:rPr>
          <w:rFonts w:ascii="仿宋" w:hAnsi="仿宋" w:eastAsia="仿宋" w:cs="仿宋"/>
          <w:b/>
          <w:color w:val="000000"/>
          <w:sz w:val="28"/>
          <w:szCs w:val="28"/>
        </w:rPr>
        <w:t xml:space="preserve">1. </w:t>
      </w:r>
      <w:r>
        <w:rPr>
          <w:rFonts w:hint="eastAsia" w:ascii="仿宋" w:hAnsi="仿宋" w:eastAsia="仿宋" w:cs="仿宋"/>
          <w:b/>
          <w:color w:val="000000"/>
          <w:sz w:val="28"/>
          <w:szCs w:val="28"/>
        </w:rPr>
        <w:t>并购标的业绩承诺达成情况应及时披露</w:t>
      </w:r>
    </w:p>
    <w:p>
      <w:pPr>
        <w:spacing w:line="360" w:lineRule="auto"/>
        <w:ind w:firstLine="562" w:firstLineChars="200"/>
        <w:rPr>
          <w:rFonts w:ascii="仿宋" w:hAnsi="仿宋" w:eastAsia="仿宋" w:cs="仿宋"/>
          <w:b/>
          <w:color w:val="000000"/>
          <w:sz w:val="28"/>
          <w:szCs w:val="28"/>
        </w:rPr>
      </w:pPr>
      <w:r>
        <w:rPr>
          <w:rFonts w:ascii="仿宋" w:hAnsi="仿宋" w:eastAsia="仿宋" w:cs="仿宋"/>
          <w:b/>
          <w:color w:val="000000"/>
          <w:sz w:val="28"/>
          <w:szCs w:val="28"/>
        </w:rPr>
        <w:t>【案例简介】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2019年，沪主板某上市公司出资102,960,000元购买某集团公司持有的A公司66%的股权，根据交易各方签署的投资协议，该集团公司及其实际控制人就A公司正式运行后一个连续年度内的工业用蒸汽销售量等事项作出承诺，并约定若未能完成承诺的相关补偿与回购安排。根据会计师事务所2022年9月13日出具的专项审计报告，A公司2021年9月9日至2022年9月8日期间工业用蒸汽销售量为341.848.61吨，未达到业绩承诺指标。自该集团公司及实际控制人作出业绩承诺以来，上市公司未在2019、2020、2021年的定期报告中披露该业绩承诺事项及具体履行情况。A公司工业用蒸汽销量未达到业绩承诺指标，上市公司未披露相关情况。</w:t>
      </w:r>
    </w:p>
    <w:p>
      <w:pPr>
        <w:spacing w:line="360" w:lineRule="auto"/>
        <w:ind w:firstLine="562" w:firstLineChars="200"/>
        <w:rPr>
          <w:rFonts w:ascii="仿宋" w:hAnsi="仿宋" w:eastAsia="仿宋" w:cs="仿宋"/>
          <w:color w:val="000000"/>
          <w:sz w:val="28"/>
          <w:szCs w:val="28"/>
        </w:rPr>
      </w:pPr>
      <w:r>
        <w:rPr>
          <w:rFonts w:ascii="仿宋" w:hAnsi="仿宋" w:eastAsia="仿宋" w:cs="仿宋"/>
          <w:b/>
          <w:color w:val="000000"/>
          <w:sz w:val="28"/>
          <w:szCs w:val="28"/>
        </w:rPr>
        <w:t>【纪律处分及监管措施】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辽宁证监局认为，上述行为违反了《上市公司监管指引第4号-上市公司实际控制人、股东、关联方、收购人以及上市公司承诺及履行》第五条和第八条第二款、《上市公司监管指引第4号-上市公司及其相关方承诺》第十条的规定，同时违反了《上市公司信息披露管理办法》第二条第一款和第三条第一款的规定。</w:t>
      </w:r>
    </w:p>
    <w:p>
      <w:pPr>
        <w:spacing w:line="360" w:lineRule="auto"/>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【规则摘要】</w:t>
      </w:r>
    </w:p>
    <w:p>
      <w:pPr>
        <w:spacing w:line="360" w:lineRule="auto"/>
        <w:ind w:firstLine="562" w:firstLineChars="200"/>
        <w:rPr>
          <w:rFonts w:ascii="仿宋" w:hAnsi="仿宋" w:eastAsia="仿宋" w:cs="仿宋"/>
          <w:b/>
          <w:color w:val="000000"/>
          <w:sz w:val="28"/>
          <w:szCs w:val="28"/>
          <w:u w:val="single"/>
        </w:rPr>
      </w:pPr>
      <w:r>
        <w:rPr>
          <w:rFonts w:hint="eastAsia" w:ascii="仿宋" w:hAnsi="仿宋" w:eastAsia="仿宋" w:cs="仿宋"/>
          <w:b/>
          <w:color w:val="000000"/>
          <w:sz w:val="28"/>
          <w:szCs w:val="28"/>
          <w:u w:val="single"/>
        </w:rPr>
        <w:t>《上市公司监管指引第4号——上市公司及其相关方承诺》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第十条 【定期报告披露要求】上市公司应当在定期报告中披露报告期内发生或者正在履行中的所有承诺事项及具体履行情况。</w:t>
      </w:r>
    </w:p>
    <w:p>
      <w:pPr>
        <w:spacing w:line="360" w:lineRule="auto"/>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【信公提示】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市公司并购标的的交易对手方及并购标的作出的相关业绩承诺，以及后续并购标的是否完成业绩承诺目标，对于上市公司及股东利益具有重大影响，属于投资者高度关注的事项。上市公司严格按照《上市公司监管指引第4号——上市公司及其相关方承诺》等相关规则的要求，及时、完整地履行信息披露义务。</w:t>
      </w:r>
    </w:p>
    <w:p>
      <w:pPr>
        <w:spacing w:line="360" w:lineRule="auto"/>
        <w:ind w:firstLine="560" w:firstLineChars="200"/>
        <w:rPr>
          <w:rFonts w:ascii="仿宋" w:hAnsi="仿宋" w:eastAsia="仿宋" w:cs="仿宋"/>
          <w:color w:val="000000"/>
          <w:sz w:val="28"/>
          <w:szCs w:val="28"/>
        </w:rPr>
      </w:pP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2</w:t>
      </w:r>
      <w:r>
        <w:rPr>
          <w:rFonts w:ascii="仿宋" w:hAnsi="仿宋" w:eastAsia="仿宋" w:cs="仿宋"/>
          <w:b/>
          <w:color w:val="000000"/>
          <w:sz w:val="28"/>
          <w:szCs w:val="28"/>
        </w:rPr>
        <w:t>.</w:t>
      </w:r>
      <w:r>
        <w:rPr>
          <w:rFonts w:hint="eastAsia"/>
        </w:rPr>
        <w:t xml:space="preserve"> </w:t>
      </w:r>
      <w:r>
        <w:rPr>
          <w:rFonts w:hint="eastAsia" w:ascii="仿宋" w:hAnsi="仿宋" w:eastAsia="仿宋" w:cs="仿宋"/>
          <w:b/>
          <w:color w:val="000000"/>
          <w:sz w:val="28"/>
          <w:szCs w:val="28"/>
        </w:rPr>
        <w:t>暂时补流的闲置募集资金不能这么“归还”</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【案例简介】</w:t>
      </w:r>
    </w:p>
    <w:p>
      <w:pPr>
        <w:spacing w:line="360" w:lineRule="auto"/>
        <w:ind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2022 年 5 月 19 日，深主板某上市公司经董事会、监事会审议通过，使用闲置募集资金不超过 6 亿元暂时补充流动资金，使用期限不超过 12 个月。截至 2023 年 4 月 28 日，公司使用闲置募集资金6 亿元暂时补充流动资金。2023 年 5 月 15 日，你公司召开股东大会审议通过了《关于终止募集资金投资项目并将剩余募集资金永久补充流动资金的议案》，在未将上述 6 亿元募集资金归还至募集资金专户的情况下，直接用于永久性补充公司流动资金。</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【纪律处分及监管措施】</w:t>
      </w:r>
      <w:r>
        <w:rPr>
          <w:rFonts w:hint="eastAsia" w:ascii="仿宋" w:hAnsi="仿宋" w:eastAsia="仿宋" w:cs="仿宋"/>
          <w:b/>
          <w:color w:val="000000"/>
          <w:sz w:val="28"/>
          <w:szCs w:val="28"/>
        </w:rPr>
        <w:tab/>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深圳证券交易所认为，上述行为违反了《深圳证券交易所股票上市规则（2023 年修订）》第 1.4 条、第 7.7.4 条，《上市公司自律监管指引第 1 号——主板上市公司规范运作》第 6.3.16 条的规定。对上市公司出具监管函。</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【规则摘要】</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u w:val="single"/>
        </w:rPr>
        <w:t>《深圳证券交易所上市公司自律监管指引第 1 号——主板上市公司规范运作》</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6.3.16 上市公司使用闲置募集资金暂时补充流动资金的，应当在董事会审议通过后及时公告下列内容：</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补充流动资金到期日之前，公司应当将该部分资金归还至募集资金专户，并在资金全部归还后及时公告。</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【信公提示】</w:t>
      </w:r>
    </w:p>
    <w:p>
      <w:pPr>
        <w:spacing w:line="360" w:lineRule="auto"/>
        <w:ind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上市公司使用暂时闲置的募集资金补充流动资金，在补流到期日之前应及时将补流资金归还至募集资金专户并公告，切记一定要有归还至募集资金专户的这一动作！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NmU3ZmFlODc4OTcxZDNkMzc3N2RkYzYxM2ZlZWIifQ=="/>
  </w:docVars>
  <w:rsids>
    <w:rsidRoot w:val="5CA456FA"/>
    <w:rsid w:val="0003298A"/>
    <w:rsid w:val="00074D92"/>
    <w:rsid w:val="00091ABF"/>
    <w:rsid w:val="000925A6"/>
    <w:rsid w:val="000D2958"/>
    <w:rsid w:val="001201C0"/>
    <w:rsid w:val="00135E58"/>
    <w:rsid w:val="001733F4"/>
    <w:rsid w:val="001F1EDE"/>
    <w:rsid w:val="002071AC"/>
    <w:rsid w:val="002202DE"/>
    <w:rsid w:val="0023716C"/>
    <w:rsid w:val="002836A6"/>
    <w:rsid w:val="002860E7"/>
    <w:rsid w:val="002C52F1"/>
    <w:rsid w:val="002D46AF"/>
    <w:rsid w:val="00300266"/>
    <w:rsid w:val="00456638"/>
    <w:rsid w:val="00502292"/>
    <w:rsid w:val="00542672"/>
    <w:rsid w:val="00553805"/>
    <w:rsid w:val="00565C1F"/>
    <w:rsid w:val="00567A23"/>
    <w:rsid w:val="0057072F"/>
    <w:rsid w:val="00634DD8"/>
    <w:rsid w:val="00662752"/>
    <w:rsid w:val="006A2010"/>
    <w:rsid w:val="006B4BC7"/>
    <w:rsid w:val="006E4910"/>
    <w:rsid w:val="00706583"/>
    <w:rsid w:val="0077380A"/>
    <w:rsid w:val="007A5E44"/>
    <w:rsid w:val="00832BA2"/>
    <w:rsid w:val="008443B7"/>
    <w:rsid w:val="00905FA6"/>
    <w:rsid w:val="009233CE"/>
    <w:rsid w:val="0093672A"/>
    <w:rsid w:val="00947D35"/>
    <w:rsid w:val="00967ED2"/>
    <w:rsid w:val="009B4AF1"/>
    <w:rsid w:val="00A0048E"/>
    <w:rsid w:val="00A2065C"/>
    <w:rsid w:val="00A25C9D"/>
    <w:rsid w:val="00A450DC"/>
    <w:rsid w:val="00AB7415"/>
    <w:rsid w:val="00AE2C15"/>
    <w:rsid w:val="00AF5A65"/>
    <w:rsid w:val="00B12211"/>
    <w:rsid w:val="00B150AF"/>
    <w:rsid w:val="00BF15A3"/>
    <w:rsid w:val="00BF36C0"/>
    <w:rsid w:val="00C063F5"/>
    <w:rsid w:val="00C14AC7"/>
    <w:rsid w:val="00C4787B"/>
    <w:rsid w:val="00C50CF6"/>
    <w:rsid w:val="00D4346F"/>
    <w:rsid w:val="00D803FB"/>
    <w:rsid w:val="00DD6843"/>
    <w:rsid w:val="00DF64B8"/>
    <w:rsid w:val="00E1689B"/>
    <w:rsid w:val="00E412EA"/>
    <w:rsid w:val="00F216F4"/>
    <w:rsid w:val="00F94756"/>
    <w:rsid w:val="00FA2724"/>
    <w:rsid w:val="00FE5E55"/>
    <w:rsid w:val="00FF5D07"/>
    <w:rsid w:val="08324530"/>
    <w:rsid w:val="111E6522"/>
    <w:rsid w:val="14C17DD8"/>
    <w:rsid w:val="2DE34E7D"/>
    <w:rsid w:val="30AC56BF"/>
    <w:rsid w:val="383B2000"/>
    <w:rsid w:val="48966ECA"/>
    <w:rsid w:val="4ABF3832"/>
    <w:rsid w:val="55BF28E5"/>
    <w:rsid w:val="5CA456FA"/>
    <w:rsid w:val="68E3174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rPr>
      <w:rFonts w:asciiTheme="minorHAnsi" w:hAnsiTheme="minorHAnsi" w:eastAsiaTheme="minorEastAsia" w:cstheme="minorBidi"/>
      <w:szCs w:val="22"/>
    </w:rPr>
  </w:style>
  <w:style w:type="paragraph" w:styleId="4">
    <w:name w:val="Balloon Text"/>
    <w:basedOn w:val="1"/>
    <w:link w:val="16"/>
    <w:unhideWhenUsed/>
    <w:qFormat/>
    <w:uiPriority w:val="99"/>
    <w:rPr>
      <w:rFonts w:asciiTheme="minorHAnsi" w:hAnsiTheme="minorHAnsi" w:eastAsiaTheme="minorEastAsia" w:cstheme="minorBidi"/>
      <w:sz w:val="18"/>
      <w:szCs w:val="18"/>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1"/>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00000"/>
      <w:u w:val="none"/>
    </w:rPr>
  </w:style>
  <w:style w:type="character" w:styleId="14">
    <w:name w:val="annotation reference"/>
    <w:basedOn w:val="11"/>
    <w:unhideWhenUsed/>
    <w:qFormat/>
    <w:uiPriority w:val="99"/>
    <w:rPr>
      <w:sz w:val="21"/>
      <w:szCs w:val="21"/>
    </w:rPr>
  </w:style>
  <w:style w:type="character" w:customStyle="1" w:styleId="15">
    <w:name w:val="批注文字 字符"/>
    <w:basedOn w:val="11"/>
    <w:link w:val="3"/>
    <w:qFormat/>
    <w:uiPriority w:val="99"/>
    <w:rPr>
      <w:rFonts w:asciiTheme="minorHAnsi" w:hAnsiTheme="minorHAnsi" w:eastAsiaTheme="minorEastAsia" w:cstheme="minorBidi"/>
      <w:kern w:val="2"/>
      <w:sz w:val="21"/>
      <w:szCs w:val="22"/>
    </w:rPr>
  </w:style>
  <w:style w:type="character" w:customStyle="1" w:styleId="16">
    <w:name w:val="批注框文本 字符"/>
    <w:basedOn w:val="11"/>
    <w:link w:val="4"/>
    <w:qFormat/>
    <w:uiPriority w:val="99"/>
    <w:rPr>
      <w:rFonts w:asciiTheme="minorHAnsi" w:hAnsiTheme="minorHAnsi" w:eastAsiaTheme="minorEastAsia" w:cstheme="minorBidi"/>
      <w:kern w:val="2"/>
      <w:sz w:val="18"/>
      <w:szCs w:val="18"/>
    </w:rPr>
  </w:style>
  <w:style w:type="character" w:customStyle="1" w:styleId="17">
    <w:name w:val="页眉 字符"/>
    <w:basedOn w:val="11"/>
    <w:link w:val="6"/>
    <w:qFormat/>
    <w:uiPriority w:val="99"/>
    <w:rPr>
      <w:rFonts w:ascii="Calibri" w:hAnsi="Calibri"/>
      <w:kern w:val="2"/>
      <w:sz w:val="18"/>
      <w:szCs w:val="24"/>
    </w:rPr>
  </w:style>
  <w:style w:type="character" w:customStyle="1" w:styleId="18">
    <w:name w:val="页脚 字符"/>
    <w:basedOn w:val="11"/>
    <w:link w:val="5"/>
    <w:qFormat/>
    <w:uiPriority w:val="99"/>
    <w:rPr>
      <w:rFonts w:ascii="Calibri" w:hAnsi="Calibri"/>
      <w:kern w:val="2"/>
      <w:sz w:val="18"/>
      <w:szCs w:val="24"/>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0">
    <w:name w:val="List Paragraph1"/>
    <w:basedOn w:val="1"/>
    <w:qFormat/>
    <w:uiPriority w:val="0"/>
    <w:pPr>
      <w:ind w:firstLine="420" w:firstLineChars="200"/>
    </w:pPr>
    <w:rPr>
      <w:szCs w:val="21"/>
    </w:rPr>
  </w:style>
  <w:style w:type="character" w:customStyle="1" w:styleId="21">
    <w:name w:val="批注主题 字符"/>
    <w:basedOn w:val="15"/>
    <w:link w:val="8"/>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017&#20449;&#20844;&#21672;&#35810;&#23454;&#20064;\&#19978;&#24066;&#20844;&#21496;&#21160;&#24577;\2&#26376;\&#21327;&#20250;&#21160;&#24577;&#21069;&#20004;&#27573;&#21450;&#34892;&#19994;&#24066;&#20540;&#20998;&#24067;&#12289;&#24066;&#20540;&#25490;&#21517;&#21069;&#21313;&#32929;&#3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1327;&#20250;&#21160;&#24577;&#21069;&#20004;&#27573;&#21450;&#34892;&#19994;&#24066;&#20540;&#20998;&#24067;&#12289;&#24066;&#20540;&#25490;&#21517;&#21069;&#21313;&#32929;&#3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6376;&#25104;&#20132;&#390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4657465192011"/>
          <c:y val="0.147712983245515"/>
          <c:w val="0.390685069615978"/>
          <c:h val="0.764724409448819"/>
        </c:manualLayout>
      </c:layout>
      <c:pie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Pt>
            <c:idx val="6"/>
            <c:bubble3D val="0"/>
            <c:spPr>
              <a:solidFill>
                <a:schemeClr val="accent1">
                  <a:lumMod val="60000"/>
                </a:schemeClr>
              </a:solidFill>
              <a:ln>
                <a:noFill/>
              </a:ln>
              <a:effectLst/>
            </c:spPr>
          </c:dPt>
          <c:dPt>
            <c:idx val="7"/>
            <c:bubble3D val="0"/>
            <c:spPr>
              <a:solidFill>
                <a:schemeClr val="accent2">
                  <a:lumMod val="60000"/>
                </a:schemeClr>
              </a:solidFill>
              <a:ln>
                <a:noFill/>
              </a:ln>
              <a:effectLst/>
            </c:spPr>
          </c:dPt>
          <c:dPt>
            <c:idx val="8"/>
            <c:bubble3D val="0"/>
            <c:spPr>
              <a:solidFill>
                <a:schemeClr val="accent3">
                  <a:lumMod val="60000"/>
                </a:schemeClr>
              </a:solidFill>
              <a:ln>
                <a:noFill/>
              </a:ln>
              <a:effectLst/>
            </c:spPr>
          </c:dPt>
          <c:dLbls>
            <c:dLbl>
              <c:idx val="0"/>
              <c:layout>
                <c:manualLayout>
                  <c:x val="-0.00256081946222791"/>
                  <c:y val="0.010025062656641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0768245838668368"/>
                  <c:y val="-0.012531328320802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0640204865556979"/>
                  <c:y val="-0.030075187969924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230473751600512"/>
                  <c:y val="0.025062656641603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020297014729753"/>
                  <c:y val="0.098370729974542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279712059039995"/>
                  <c:y val="0.10599411915615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262508191597689"/>
                  <c:y val="0.042606516290726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00998751560549318"/>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0635547745158016"/>
                  <c:y val="0.017543859649122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Sheet2!$A$18:$A$26</c:f>
              <c:strCache>
                <c:ptCount val="9"/>
                <c:pt idx="0">
                  <c:v>材料</c:v>
                </c:pt>
                <c:pt idx="1">
                  <c:v>日常消费</c:v>
                </c:pt>
                <c:pt idx="2">
                  <c:v>工业</c:v>
                </c:pt>
                <c:pt idx="3">
                  <c:v>信息技术</c:v>
                </c:pt>
                <c:pt idx="4">
                  <c:v>医疗保健</c:v>
                </c:pt>
                <c:pt idx="5">
                  <c:v>可选消费</c:v>
                </c:pt>
                <c:pt idx="6">
                  <c:v>金融</c:v>
                </c:pt>
                <c:pt idx="7">
                  <c:v>能源</c:v>
                </c:pt>
                <c:pt idx="8">
                  <c:v>公用事业</c:v>
                </c:pt>
              </c:strCache>
            </c:strRef>
          </c:cat>
          <c:val>
            <c:numRef>
              <c:f>Sheet2!$B$18:$B$26</c:f>
              <c:numCache>
                <c:formatCode>General</c:formatCode>
                <c:ptCount val="9"/>
                <c:pt idx="0">
                  <c:v>3543.88</c:v>
                </c:pt>
                <c:pt idx="1">
                  <c:v>3504.46</c:v>
                </c:pt>
                <c:pt idx="2">
                  <c:v>2012.08</c:v>
                </c:pt>
                <c:pt idx="3">
                  <c:v>1446.44</c:v>
                </c:pt>
                <c:pt idx="4">
                  <c:v>1380.85</c:v>
                </c:pt>
                <c:pt idx="5">
                  <c:v>594.92</c:v>
                </c:pt>
                <c:pt idx="6">
                  <c:v>550.76</c:v>
                </c:pt>
                <c:pt idx="7">
                  <c:v>337.21</c:v>
                </c:pt>
                <c:pt idx="8">
                  <c:v>209.56</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rgbClr val="D9D9D9"/>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Sheet3!$B$1</c:f>
              <c:strCache>
                <c:ptCount val="1"/>
                <c:pt idx="0">
                  <c:v>市值（亿元）（2023-05-31）</c:v>
                </c:pt>
              </c:strCache>
            </c:strRef>
          </c:tx>
          <c:spPr>
            <a:solidFill>
              <a:srgbClr val="C0504D"/>
            </a:solidFill>
          </c:spPr>
          <c:invertIfNegative val="0"/>
          <c:dLbls>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Sheet3!$A$2:$A$11</c:f>
              <c:strCache>
                <c:ptCount val="10"/>
                <c:pt idx="0">
                  <c:v>牧原股份</c:v>
                </c:pt>
                <c:pt idx="1">
                  <c:v>洛阳钼业</c:v>
                </c:pt>
                <c:pt idx="2">
                  <c:v>中航光电</c:v>
                </c:pt>
                <c:pt idx="3">
                  <c:v>双汇发展</c:v>
                </c:pt>
                <c:pt idx="4">
                  <c:v>华兰生物</c:v>
                </c:pt>
                <c:pt idx="5">
                  <c:v>龙佰集团</c:v>
                </c:pt>
                <c:pt idx="6">
                  <c:v>安图生物</c:v>
                </c:pt>
                <c:pt idx="7">
                  <c:v>神火股份</c:v>
                </c:pt>
                <c:pt idx="8">
                  <c:v>宇通客车</c:v>
                </c:pt>
                <c:pt idx="9">
                  <c:v>许继电气</c:v>
                </c:pt>
              </c:strCache>
            </c:strRef>
          </c:cat>
          <c:val>
            <c:numRef>
              <c:f>Sheet3!$B$2:$B$11</c:f>
              <c:numCache>
                <c:formatCode>General</c:formatCode>
                <c:ptCount val="10"/>
                <c:pt idx="0">
                  <c:v>2190.65</c:v>
                </c:pt>
                <c:pt idx="1">
                  <c:v>1131.8</c:v>
                </c:pt>
                <c:pt idx="2">
                  <c:v>901.23</c:v>
                </c:pt>
                <c:pt idx="3">
                  <c:v>851.61</c:v>
                </c:pt>
                <c:pt idx="4">
                  <c:v>411.03</c:v>
                </c:pt>
                <c:pt idx="5">
                  <c:v>374.88</c:v>
                </c:pt>
                <c:pt idx="6">
                  <c:v>332.94</c:v>
                </c:pt>
                <c:pt idx="7">
                  <c:v>287.68</c:v>
                </c:pt>
                <c:pt idx="8">
                  <c:v>287.59</c:v>
                </c:pt>
                <c:pt idx="9">
                  <c:v>233.93</c:v>
                </c:pt>
              </c:numCache>
            </c:numRef>
          </c:val>
        </c:ser>
        <c:dLbls>
          <c:showLegendKey val="0"/>
          <c:showVal val="1"/>
          <c:showCatName val="0"/>
          <c:showSerName val="0"/>
          <c:showPercent val="0"/>
          <c:showBubbleSize val="0"/>
        </c:dLbls>
        <c:gapWidth val="75"/>
        <c:axId val="197067424"/>
        <c:axId val="197065792"/>
      </c:barChart>
      <c:catAx>
        <c:axId val="19706742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7065792"/>
        <c:crosses val="autoZero"/>
        <c:auto val="1"/>
        <c:lblAlgn val="ctr"/>
        <c:lblOffset val="100"/>
        <c:noMultiLvlLbl val="0"/>
      </c:catAx>
      <c:valAx>
        <c:axId val="197065792"/>
        <c:scaling>
          <c:orientation val="minMax"/>
          <c:max val="2400"/>
        </c:scaling>
        <c:delete val="0"/>
        <c:axPos val="l"/>
        <c:majorGridlines>
          <c:spPr>
            <a:ln w="9525" cap="flat" cmpd="sng" algn="ctr">
              <a:noFill/>
              <a:prstDash val="solid"/>
              <a:round/>
            </a:ln>
          </c:spPr>
        </c:majorGridlines>
        <c:numFmt formatCode="#,##0.00_);[Red]\(#,##0.00\)" sourceLinked="0"/>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7067424"/>
        <c:crosses val="autoZero"/>
        <c:crossBetween val="between"/>
        <c:majorUnit val="600"/>
      </c:valAx>
      <c:spPr>
        <a:ln>
          <a:noFill/>
        </a:ln>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月成交额（亿元）</c:v>
                </c:pt>
              </c:strCache>
            </c:strRef>
          </c:tx>
          <c:spPr>
            <a:solidFill>
              <a:srgbClr val="C0504D"/>
            </a:solidFill>
          </c:spPr>
          <c:invertIfNegative val="0"/>
          <c:dLbls>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Sheet1!$A$2:$A$11</c:f>
              <c:strCache>
                <c:ptCount val="10"/>
                <c:pt idx="0">
                  <c:v>牧原股份</c:v>
                </c:pt>
                <c:pt idx="1">
                  <c:v>拓新药业</c:v>
                </c:pt>
                <c:pt idx="2">
                  <c:v>中粮资本</c:v>
                </c:pt>
                <c:pt idx="3">
                  <c:v>洛阳钼业</c:v>
                </c:pt>
                <c:pt idx="4">
                  <c:v>神火股份</c:v>
                </c:pt>
                <c:pt idx="5">
                  <c:v>许继电气</c:v>
                </c:pt>
                <c:pt idx="6">
                  <c:v>宇通客车</c:v>
                </c:pt>
                <c:pt idx="7">
                  <c:v>平高电气</c:v>
                </c:pt>
                <c:pt idx="8">
                  <c:v>中航光电</c:v>
                </c:pt>
                <c:pt idx="9">
                  <c:v>汉威科技</c:v>
                </c:pt>
              </c:strCache>
            </c:strRef>
          </c:cat>
          <c:val>
            <c:numRef>
              <c:f>Sheet1!$B$2:$B$11</c:f>
              <c:numCache>
                <c:formatCode>###,###,###,##0.0000</c:formatCode>
                <c:ptCount val="10"/>
                <c:pt idx="0">
                  <c:v>194.09</c:v>
                </c:pt>
                <c:pt idx="1">
                  <c:v>170.96</c:v>
                </c:pt>
                <c:pt idx="2">
                  <c:v>137.97</c:v>
                </c:pt>
                <c:pt idx="3">
                  <c:v>126.26</c:v>
                </c:pt>
                <c:pt idx="4">
                  <c:v>97.11</c:v>
                </c:pt>
                <c:pt idx="5">
                  <c:v>81.35</c:v>
                </c:pt>
                <c:pt idx="6">
                  <c:v>78.82</c:v>
                </c:pt>
                <c:pt idx="7">
                  <c:v>68.67</c:v>
                </c:pt>
                <c:pt idx="8">
                  <c:v>67.12</c:v>
                </c:pt>
                <c:pt idx="9">
                  <c:v>63.08</c:v>
                </c:pt>
              </c:numCache>
            </c:numRef>
          </c:val>
        </c:ser>
        <c:dLbls>
          <c:showLegendKey val="0"/>
          <c:showVal val="1"/>
          <c:showCatName val="0"/>
          <c:showSerName val="0"/>
          <c:showPercent val="0"/>
          <c:showBubbleSize val="0"/>
        </c:dLbls>
        <c:gapWidth val="75"/>
        <c:axId val="121946672"/>
        <c:axId val="121939600"/>
      </c:barChart>
      <c:catAx>
        <c:axId val="1219466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939600"/>
        <c:crosses val="autoZero"/>
        <c:auto val="1"/>
        <c:lblAlgn val="ctr"/>
        <c:lblOffset val="100"/>
        <c:noMultiLvlLbl val="0"/>
      </c:catAx>
      <c:valAx>
        <c:axId val="121939600"/>
        <c:scaling>
          <c:orientation val="minMax"/>
          <c:max val="200"/>
        </c:scaling>
        <c:delete val="0"/>
        <c:axPos val="l"/>
        <c:numFmt formatCode="#,##0.00_);[Red]\(#,##0.00\)" sourceLinked="0"/>
        <c:majorTickMark val="out"/>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946672"/>
        <c:crosses val="autoZero"/>
        <c:crossBetween val="between"/>
        <c:majorUnit val="50"/>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solidFill>
      <a:prstDash val="solid"/>
      <a:round/>
    </a:ln>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19</Pages>
  <Words>8955</Words>
  <Characters>11621</Characters>
  <Lines>87</Lines>
  <Paragraphs>24</Paragraphs>
  <TotalTime>0</TotalTime>
  <ScaleCrop>false</ScaleCrop>
  <LinksUpToDate>false</LinksUpToDate>
  <CharactersWithSpaces>11700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2019-03-11T01:10:00Z</dcterms:created>
  <dc:creator>Annie</dc:creator>
  <cp:lastModifiedBy>北乔峰</cp:lastModifiedBy>
  <cp:lastPrinted>2019-03-05T08:32:00Z</cp:lastPrinted>
  <dcterms:modified xsi:type="dcterms:W3CDTF">2023-06-16T08:24:54Z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6FD9A9F26B554893B973C5C39143D632_12</vt:lpwstr>
  </property>
</Properties>
</file>