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pPr>
      <w:r>
        <w:rPr>
          <w:rFonts w:ascii="华文中宋" w:hAnsi="华文中宋" w:eastAsia="华文中宋" w:cs="Arial"/>
          <w:b/>
          <w:sz w:val="40"/>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华文中宋" w:hAnsi="华文中宋" w:eastAsia="华文中宋" w:cs="Arial"/>
          <w:b/>
          <w:sz w:val="40"/>
          <w:szCs w:val="28"/>
        </w:rPr>
        <w:instrText xml:space="preserve">ADDIN CNKISM.UserStyle</w:instrText>
      </w:r>
      <w:r>
        <w:rPr>
          <w:rFonts w:ascii="华文中宋" w:hAnsi="华文中宋" w:eastAsia="华文中宋" w:cs="Arial"/>
          <w:b/>
          <w:sz w:val="40"/>
          <w:szCs w:val="28"/>
        </w:rPr>
        <w:fldChar w:fldCharType="end"/>
      </w:r>
      <w:r>
        <w:rPr>
          <w:rFonts w:hint="eastAsia" w:ascii="华文中宋" w:hAnsi="华文中宋" w:eastAsia="华文中宋" w:cs="Arial"/>
          <w:b/>
          <w:sz w:val="40"/>
          <w:szCs w:val="28"/>
        </w:rPr>
        <w:t>河南辖区上市公司</w:t>
      </w:r>
      <w:r>
        <w:rPr>
          <w:rFonts w:ascii="华文中宋" w:hAnsi="华文中宋" w:eastAsia="华文中宋" w:cs="Arial"/>
          <w:b/>
          <w:sz w:val="40"/>
          <w:szCs w:val="28"/>
        </w:rPr>
        <w:t>7月</w:t>
      </w:r>
      <w:r>
        <w:rPr>
          <w:rFonts w:hint="eastAsia" w:ascii="华文中宋" w:hAnsi="华文中宋" w:eastAsia="华文中宋" w:cs="Arial"/>
          <w:b/>
          <w:sz w:val="40"/>
          <w:szCs w:val="28"/>
        </w:rPr>
        <w:t>市场动态</w:t>
      </w:r>
    </w:p>
    <w:p>
      <w:pPr>
        <w:spacing w:after="156" w:afterLines="50" w:line="360" w:lineRule="auto"/>
        <w:ind w:firstLine="560" w:firstLineChars="200"/>
        <w:rPr>
          <w:rFonts w:ascii="仿宋" w:hAnsi="仿宋" w:eastAsia="仿宋"/>
          <w:sz w:val="28"/>
        </w:rPr>
      </w:pPr>
      <w:r>
        <w:rPr>
          <w:rFonts w:hint="eastAsia" w:ascii="仿宋" w:hAnsi="仿宋" w:eastAsia="仿宋"/>
          <w:color w:val="auto"/>
          <w:sz w:val="28"/>
        </w:rPr>
        <w:t>河南上市公司协会联合上海信公科技集团股份有限公司，就河南辖区上市公司2023年</w:t>
      </w:r>
      <w:r>
        <w:rPr>
          <w:rFonts w:hint="eastAsia" w:ascii="仿宋" w:hAnsi="仿宋" w:eastAsia="仿宋"/>
          <w:color w:val="auto"/>
          <w:sz w:val="28"/>
          <w:lang w:val="en-US" w:eastAsia="zh-CN"/>
        </w:rPr>
        <w:t>7</w:t>
      </w:r>
      <w:r>
        <w:rPr>
          <w:rFonts w:hint="eastAsia" w:ascii="仿宋" w:hAnsi="仿宋" w:eastAsia="仿宋"/>
          <w:color w:val="auto"/>
          <w:sz w:val="28"/>
        </w:rPr>
        <w:t>月份市场表现及公开披露的相关信息进行归纳总结、对比分析，具体如下：</w:t>
      </w:r>
      <w:bookmarkStart w:id="0" w:name="_GoBack"/>
      <w:bookmarkEnd w:id="0"/>
    </w:p>
    <w:p>
      <w:pPr>
        <w:spacing w:after="156" w:afterLines="50" w:line="360" w:lineRule="auto"/>
        <w:rPr>
          <w:rFonts w:ascii="仿宋" w:hAnsi="仿宋" w:eastAsia="仿宋"/>
          <w:b/>
          <w:sz w:val="28"/>
        </w:rPr>
      </w:pPr>
      <w:r>
        <w:rPr>
          <w:rFonts w:hint="eastAsia" w:ascii="仿宋" w:hAnsi="仿宋" w:eastAsia="仿宋"/>
          <w:b/>
          <w:sz w:val="28"/>
        </w:rPr>
        <w:t>一、七</w:t>
      </w:r>
      <w:r>
        <w:rPr>
          <w:rFonts w:ascii="仿宋" w:hAnsi="仿宋" w:eastAsia="仿宋"/>
          <w:b/>
          <w:sz w:val="28"/>
        </w:rPr>
        <w:t>月</w:t>
      </w:r>
      <w:r>
        <w:rPr>
          <w:rFonts w:hint="eastAsia" w:ascii="仿宋" w:hAnsi="仿宋" w:eastAsia="仿宋"/>
          <w:b/>
          <w:sz w:val="28"/>
        </w:rPr>
        <w:t>国内重要财经新闻浏览</w:t>
      </w:r>
    </w:p>
    <w:p>
      <w:pPr>
        <w:widowControl/>
        <w:ind w:firstLine="562" w:firstLineChars="200"/>
        <w:rPr>
          <w:rFonts w:ascii="仿宋" w:hAnsi="仿宋" w:eastAsia="仿宋" w:cs="仿宋"/>
          <w:bCs/>
          <w:sz w:val="28"/>
          <w:szCs w:val="28"/>
        </w:rPr>
      </w:pPr>
      <w:r>
        <w:rPr>
          <w:rFonts w:hint="eastAsia" w:ascii="仿宋" w:hAnsi="仿宋" w:eastAsia="仿宋" w:cs="仿宋"/>
          <w:b/>
          <w:sz w:val="28"/>
          <w:szCs w:val="28"/>
        </w:rPr>
        <w:t>1</w:t>
      </w:r>
      <w:r>
        <w:rPr>
          <w:rFonts w:ascii="仿宋" w:hAnsi="仿宋" w:eastAsia="仿宋" w:cs="仿宋"/>
          <w:b/>
          <w:sz w:val="28"/>
          <w:szCs w:val="28"/>
        </w:rPr>
        <w:t>.</w:t>
      </w:r>
      <w:r>
        <w:rPr>
          <w:rFonts w:hint="eastAsia"/>
        </w:rPr>
        <w:t xml:space="preserve"> </w:t>
      </w:r>
      <w:r>
        <w:rPr>
          <w:rFonts w:hint="eastAsia" w:ascii="仿宋" w:hAnsi="仿宋" w:eastAsia="仿宋" w:cs="仿宋"/>
          <w:b/>
          <w:sz w:val="28"/>
          <w:szCs w:val="28"/>
        </w:rPr>
        <w:t>国资委：推动国有资本向前瞻性战略性新兴产业集中 当好“长期资本”“耐心资本”“战略资本”。</w:t>
      </w:r>
      <w:r>
        <w:rPr>
          <w:rFonts w:hint="eastAsia" w:ascii="仿宋" w:hAnsi="仿宋" w:eastAsia="仿宋" w:cs="仿宋"/>
          <w:sz w:val="28"/>
          <w:szCs w:val="28"/>
        </w:rPr>
        <w:t>7月25日至26日，国务院国资委举办地方国资委负责人国有企业改革深化提升行动研讨班。会议强调，要坚持和加强党对国有企业的全面领导，坚定不移做强做优做大国有资本和国有企业，积极服务国家重大战略。要不断提高企业核心竞争力、增强核心功能，推动国有企业把科技创新摆在核心位置，构筑竞争新优势；推动国有资本向关系国家安全、国民经济命脉的重要行业集中，向提供公共服务、应急能力建设和公益性等关系国计民生的重要行业集中，向前瞻性战略性新兴产业集中，坚守主责、做强主业，当好“长期资本”“耐心资本”“战略资本”。要在建设现代化产业体系、构建新发展格局中充分发挥科技创新、产业控制、安全支撑作用，强化企业科技创新主体地位，促进产学研用深度融合；积极培育“链长”企业，确保产业链供应链自主可控；聚焦重点领域，提升产业链韧性、释放科技创新活力，推动国资国企真正成为堪当时代重任的大国重器、强国基石。</w:t>
      </w:r>
    </w:p>
    <w:p>
      <w:pPr>
        <w:widowControl/>
        <w:ind w:firstLine="562" w:firstLineChars="200"/>
        <w:rPr>
          <w:rFonts w:ascii="仿宋" w:hAnsi="仿宋" w:eastAsia="仿宋" w:cs="仿宋"/>
          <w:bCs/>
          <w:sz w:val="28"/>
          <w:szCs w:val="28"/>
        </w:rPr>
      </w:pPr>
      <w:r>
        <w:rPr>
          <w:rFonts w:hint="eastAsia" w:ascii="仿宋" w:hAnsi="仿宋" w:eastAsia="仿宋" w:cs="仿宋"/>
          <w:b/>
          <w:sz w:val="28"/>
          <w:szCs w:val="28"/>
        </w:rPr>
        <w:t>2</w:t>
      </w:r>
      <w:r>
        <w:rPr>
          <w:rFonts w:ascii="仿宋" w:hAnsi="仿宋" w:eastAsia="仿宋" w:cs="仿宋"/>
          <w:b/>
          <w:sz w:val="28"/>
          <w:szCs w:val="28"/>
        </w:rPr>
        <w:t>.</w:t>
      </w:r>
      <w:r>
        <w:rPr>
          <w:rFonts w:hint="eastAsia"/>
        </w:rPr>
        <w:t xml:space="preserve"> </w:t>
      </w:r>
      <w:r>
        <w:rPr>
          <w:rFonts w:hint="eastAsia" w:ascii="仿宋" w:hAnsi="仿宋" w:eastAsia="仿宋" w:cs="仿宋"/>
          <w:b/>
          <w:sz w:val="28"/>
          <w:szCs w:val="28"/>
        </w:rPr>
        <w:t>财政部：上半年全国一般公共预算收入119203亿元 同比增长13.3%。</w:t>
      </w:r>
      <w:r>
        <w:rPr>
          <w:rFonts w:hint="eastAsia" w:ascii="仿宋" w:hAnsi="仿宋" w:eastAsia="仿宋" w:cs="仿宋"/>
          <w:sz w:val="28"/>
          <w:szCs w:val="28"/>
        </w:rPr>
        <w:t>财联社7月19日电，财政部7月19日上午召开上半年财政收支情况新闻发布会，财政部国库支付中心副主任薛虓乾会上介绍，上半年，全国一般公共预算收入119203亿元，同比增长13.3%。财政收入增幅比较高，除经济恢复性增长带动外，主要受去年4月份开始实施大规模增值税留抵退税政策，集中退税较多，拉低了基数。受此影响，国内增值税大幅增长，相应拉高了财政收入的增幅。上半年，全国税收收入同比增长16.5%，其中国内增值税增长96%。</w:t>
      </w:r>
    </w:p>
    <w:p>
      <w:pPr>
        <w:widowControl/>
        <w:ind w:firstLine="562" w:firstLineChars="200"/>
        <w:rPr>
          <w:rFonts w:ascii="仿宋" w:hAnsi="仿宋" w:eastAsia="仿宋" w:cs="仿宋"/>
          <w:b/>
          <w:sz w:val="28"/>
          <w:szCs w:val="28"/>
        </w:rPr>
      </w:pPr>
      <w:r>
        <w:rPr>
          <w:rFonts w:ascii="仿宋" w:hAnsi="仿宋" w:eastAsia="仿宋" w:cs="仿宋"/>
          <w:b/>
          <w:bCs/>
          <w:sz w:val="28"/>
          <w:szCs w:val="28"/>
        </w:rPr>
        <w:t>3.</w:t>
      </w:r>
      <w:r>
        <w:rPr>
          <w:rFonts w:hint="eastAsia"/>
        </w:rPr>
        <w:t xml:space="preserve"> </w:t>
      </w:r>
      <w:r>
        <w:rPr>
          <w:rFonts w:hint="eastAsia" w:ascii="仿宋" w:hAnsi="仿宋" w:eastAsia="仿宋" w:cs="仿宋"/>
          <w:b/>
          <w:bCs/>
          <w:sz w:val="28"/>
          <w:szCs w:val="28"/>
        </w:rPr>
        <w:t>商务部：加快建立健全外资企业圆桌会议制度</w:t>
      </w:r>
      <w:r>
        <w:rPr>
          <w:rFonts w:hint="eastAsia" w:ascii="仿宋" w:hAnsi="仿宋" w:eastAsia="仿宋" w:cs="仿宋"/>
          <w:b/>
          <w:sz w:val="28"/>
          <w:szCs w:val="28"/>
        </w:rPr>
        <w:t>。</w:t>
      </w:r>
      <w:r>
        <w:rPr>
          <w:rFonts w:hint="eastAsia" w:ascii="仿宋" w:hAnsi="仿宋" w:eastAsia="仿宋" w:cs="仿宋"/>
          <w:sz w:val="28"/>
          <w:szCs w:val="28"/>
        </w:rPr>
        <w:t>7月27日，2023年上半年重点外资项目工作专班地方成员电视电话会议在京召开。会议指出，各级外资专班深入贯彻落实党中央、国务院决策部署，紧紧围绕“更大力度吸引和利用外资”，有针对性做好外资企业服务保障工作，为稳外资提供了有力支撑。各地要继续全力以赴做好稳存量扩增量工作，加快建立健全外资企业圆桌会议制度，深化常态化沟通交流，及时回应企业关切，为外资企业在华经营提供更加优质的服务和环境。</w:t>
      </w:r>
    </w:p>
    <w:p>
      <w:pPr>
        <w:widowControl/>
        <w:ind w:firstLine="562" w:firstLineChars="200"/>
        <w:rPr>
          <w:rFonts w:ascii="仿宋" w:hAnsi="仿宋" w:eastAsia="仿宋" w:cs="仿宋"/>
          <w:b/>
          <w:bCs/>
          <w:sz w:val="28"/>
          <w:szCs w:val="28"/>
        </w:rPr>
      </w:pPr>
      <w:r>
        <w:rPr>
          <w:rFonts w:ascii="仿宋" w:hAnsi="仿宋" w:eastAsia="仿宋" w:cs="仿宋"/>
          <w:b/>
          <w:bCs/>
          <w:sz w:val="28"/>
          <w:szCs w:val="28"/>
        </w:rPr>
        <w:t>4.</w:t>
      </w:r>
      <w:r>
        <w:rPr>
          <w:rFonts w:hint="eastAsia"/>
        </w:rPr>
        <w:t xml:space="preserve"> </w:t>
      </w:r>
      <w:r>
        <w:rPr>
          <w:rFonts w:hint="eastAsia" w:ascii="仿宋" w:hAnsi="仿宋" w:eastAsia="仿宋" w:cs="仿宋"/>
          <w:b/>
          <w:bCs/>
          <w:sz w:val="28"/>
          <w:szCs w:val="28"/>
        </w:rPr>
        <w:t>央行：二季度末清洁能源和节能环保产业贷款余额同比分别增长35%和49.2%。</w:t>
      </w:r>
      <w:r>
        <w:rPr>
          <w:rFonts w:ascii="仿宋" w:hAnsi="仿宋" w:eastAsia="仿宋" w:cs="仿宋"/>
          <w:b/>
          <w:bCs/>
          <w:sz w:val="28"/>
          <w:szCs w:val="28"/>
        </w:rPr>
        <w:t xml:space="preserve"> </w:t>
      </w:r>
      <w:r>
        <w:rPr>
          <w:rFonts w:hint="eastAsia" w:ascii="仿宋" w:hAnsi="仿宋" w:eastAsia="仿宋" w:cs="仿宋"/>
          <w:bCs/>
          <w:sz w:val="28"/>
          <w:szCs w:val="28"/>
        </w:rPr>
        <w:t>财联社7月28日电，央行发布《2023年二季度金融机构贷款投向统计报告》。报告显示，2023年二季度末，本外币绿色贷款2余额27.05万亿元，同比增长38.4%，比上年末低0.1个百分点，高于各项贷款增速27.8个百分点，比年初增加5.45万亿元。其中，投向具有直接和间接碳减排效益项目的贷款分别为9.6和8.44万亿元，合计占绿色贷款的66.7%。分用途看，基础设施绿色升级产业、清洁能源产业和节能环保产业贷款余额分别为11.85、6.8和3.93万亿元，同比分别增长34.3%、35%和49.2%，比年初分别增加2.14万亿元、1.26万亿元和9549亿元。</w:t>
      </w:r>
    </w:p>
    <w:p>
      <w:pPr>
        <w:widowControl/>
        <w:ind w:firstLine="562" w:firstLineChars="200"/>
        <w:rPr>
          <w:rFonts w:ascii="仿宋" w:hAnsi="仿宋" w:eastAsia="仿宋" w:cs="仿宋"/>
          <w:bCs/>
          <w:sz w:val="28"/>
          <w:szCs w:val="28"/>
        </w:rPr>
      </w:pPr>
      <w:r>
        <w:rPr>
          <w:rFonts w:ascii="仿宋" w:hAnsi="仿宋" w:eastAsia="仿宋" w:cs="仿宋"/>
          <w:b/>
          <w:bCs/>
          <w:sz w:val="28"/>
          <w:szCs w:val="28"/>
        </w:rPr>
        <w:t>5.</w:t>
      </w:r>
      <w:r>
        <w:rPr>
          <w:rFonts w:hint="eastAsia"/>
        </w:rPr>
        <w:t xml:space="preserve"> </w:t>
      </w:r>
      <w:r>
        <w:rPr>
          <w:rFonts w:hint="eastAsia" w:ascii="仿宋" w:hAnsi="仿宋" w:eastAsia="仿宋" w:cs="仿宋"/>
          <w:b/>
          <w:bCs/>
          <w:sz w:val="28"/>
          <w:szCs w:val="28"/>
        </w:rPr>
        <w:t>证监会：对专门申请北交所做市商资格的证券公司 在科创板做市商条件的基础上适当调整有关资本实力和分类评价要求。</w:t>
      </w:r>
      <w:r>
        <w:rPr>
          <w:rFonts w:hint="eastAsia" w:ascii="仿宋" w:hAnsi="仿宋" w:eastAsia="仿宋" w:cs="仿宋"/>
          <w:bCs/>
          <w:sz w:val="28"/>
          <w:szCs w:val="28"/>
        </w:rPr>
        <w:t>财联社7月28日电，证监会发布关于就《证券公司北京证券交易所股票做市交易业务特别规定（征求意见稿）》公开征求意见的通知。关于资格准入。对专门申请北交所做市商资格的证券公司，在科创板做市商条件的基础上适当调整有关资本实力和分类评价要求，净资本由100亿元调整至50亿元，连续三年分类评级为A类A级（含）以上调整至近3年分类评级有1年为A类A级（含）以上且近1年分类评级为B类BB级（含）以上。同时，新增更加符合北交所特点的两项指标，即在北交所保荐上市公司家数排名前20或最近一年新三板做市成交金额排名前20，其他条件保持不变。</w:t>
      </w:r>
    </w:p>
    <w:p>
      <w:pPr>
        <w:widowControl/>
        <w:rPr>
          <w:rFonts w:ascii="仿宋" w:hAnsi="仿宋" w:eastAsia="仿宋" w:cs="仿宋"/>
          <w:b/>
          <w:bCs/>
          <w:sz w:val="28"/>
          <w:szCs w:val="28"/>
        </w:rPr>
      </w:pPr>
      <w:r>
        <w:rPr>
          <w:rFonts w:hint="eastAsia" w:ascii="仿宋" w:hAnsi="仿宋" w:eastAsia="仿宋" w:cs="仿宋"/>
          <w:b/>
          <w:bCs/>
          <w:sz w:val="28"/>
          <w:szCs w:val="28"/>
        </w:rPr>
        <w:t>二、七月券商行业研究情况浏览</w:t>
      </w:r>
    </w:p>
    <w:p>
      <w:pPr>
        <w:ind w:firstLine="562" w:firstLineChars="200"/>
        <w:rPr>
          <w:rFonts w:ascii="仿宋" w:hAnsi="仿宋" w:eastAsia="仿宋" w:cs="仿宋"/>
          <w:b/>
          <w:bCs/>
          <w:color w:val="333333"/>
          <w:kern w:val="0"/>
          <w:sz w:val="28"/>
          <w:szCs w:val="28"/>
          <w:shd w:val="clear" w:color="auto" w:fill="FFFFFF"/>
        </w:rPr>
      </w:pPr>
      <w:r>
        <w:rPr>
          <w:rFonts w:hint="eastAsia" w:ascii="仿宋" w:hAnsi="仿宋" w:eastAsia="仿宋" w:cs="仿宋"/>
          <w:b/>
          <w:bCs/>
          <w:color w:val="333333"/>
          <w:sz w:val="28"/>
          <w:szCs w:val="28"/>
          <w:shd w:val="clear" w:color="auto" w:fill="FFFFFF"/>
        </w:rPr>
        <w:t>1</w:t>
      </w:r>
      <w:r>
        <w:rPr>
          <w:rFonts w:ascii="仿宋" w:hAnsi="仿宋" w:eastAsia="仿宋" w:cs="仿宋"/>
          <w:b/>
          <w:bCs/>
          <w:color w:val="333333"/>
          <w:sz w:val="28"/>
          <w:szCs w:val="28"/>
          <w:shd w:val="clear" w:color="auto" w:fill="FFFFFF"/>
        </w:rPr>
        <w:t>.</w:t>
      </w:r>
      <w:r>
        <w:rPr>
          <w:rFonts w:hint="eastAsia"/>
        </w:rPr>
        <w:t xml:space="preserve"> </w:t>
      </w:r>
      <w:r>
        <w:rPr>
          <w:rFonts w:hint="eastAsia" w:ascii="仿宋" w:hAnsi="仿宋" w:eastAsia="仿宋" w:cs="仿宋"/>
          <w:b/>
          <w:bCs/>
          <w:color w:val="333333"/>
          <w:kern w:val="0"/>
          <w:sz w:val="28"/>
          <w:szCs w:val="28"/>
          <w:shd w:val="clear" w:color="auto" w:fill="FFFFFF"/>
        </w:rPr>
        <w:t>电子行业：机器视觉行业长坡厚雪，消费电子有望驱动新一轮需求周期</w:t>
      </w:r>
    </w:p>
    <w:p>
      <w:pPr>
        <w:pStyle w:val="7"/>
        <w:spacing w:before="156" w:beforeLines="50" w:after="156" w:afterLines="5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机器视觉在工业场景应用广泛，核心零部件和视觉系统是核心价值量环节。机器视觉由光源、镜头、相机和视觉控制系统组成，通过中游设备商开发后应用于电子、半导体、智能驾驶等众多下游行业。四大功能检测、测量、识别、定位功能在工业场景中分别占比50%、10%、24%、16%。由于软硬结合要求及技术耦合性高，领先厂商在产业链多环节布局，因此上游零部件厂商往往布局多个零部件，同时上游和中游的环节也是相互渗透和合作。从按销售额的产品分布看，特定视觉应用系统占比33%。相机，光学和照明三大核心零部件合计占比45%，是机器视觉行业的核心价值环节。</w:t>
      </w:r>
    </w:p>
    <w:p>
      <w:pPr>
        <w:pStyle w:val="7"/>
        <w:spacing w:before="156" w:beforeLines="50" w:after="156" w:afterLines="50" w:line="360" w:lineRule="auto"/>
        <w:ind w:firstLine="280" w:firstLineChars="1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　需求驱动+政策鼓励，中国机器视觉市场25年有望达到469亿元，21-25年CAGR高达36%。相比人工视觉，机器视觉拥有精度高、速度快、适应性强、可靠性高、效率高等优势，在我国人工成本增加、质量要求提高的背景下需求大幅增长，同时得到了产业政策的大力支持，正处于快速发展的黄金时期。全球机器视觉市场规模增长较为稳定，22-25年CAGR预计为13%，25年有望达到1276亿元。中国机器视觉市场规模25年有望达到469亿元，21-25年CAGR高达36%</w:t>
      </w:r>
    </w:p>
    <w:p>
      <w:pPr>
        <w:pStyle w:val="7"/>
        <w:spacing w:before="156" w:beforeLines="50" w:after="156" w:afterLines="50" w:line="360" w:lineRule="auto"/>
        <w:ind w:firstLine="280" w:firstLineChars="1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　创新密集+高精度，3C电子是机器视觉最大应用领域。消费电子元件尺寸小、精度要求高，同时创新密集，其制造特点决定了其正是机器视觉的优势领域。机器视觉下游份额前三行业为3C电子、半导体、汽车，其中电子占比超30%，半导体占比超过10%。其中苹果客户作为全球最大的3C电子制造需求方，其密集的材料、工艺更新迭代催生新的检测、组装等需求，是很多机器视觉公司的核心客户。</w:t>
      </w:r>
    </w:p>
    <w:p>
      <w:pPr>
        <w:pStyle w:val="7"/>
        <w:spacing w:before="156" w:beforeLines="50" w:beforeAutospacing="0" w:after="156" w:afterLines="5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工业场景机器换人大势所趋，机器视觉赛道长坡厚雪。当前3C电子核心客户持续推进产业链自动化进程，同时品质管控前移催生模组和关键零部件的视觉需求，全球范围内的产能转移有望驱动新一轮机器视觉需求周期。</w:t>
      </w:r>
    </w:p>
    <w:p>
      <w:pPr>
        <w:pStyle w:val="7"/>
        <w:spacing w:before="156" w:beforeLines="50" w:beforeAutospacing="0" w:after="156" w:afterLines="50" w:afterAutospacing="0" w:line="360" w:lineRule="auto"/>
        <w:ind w:firstLine="210" w:firstLineChars="100"/>
        <w:jc w:val="right"/>
        <w:rPr>
          <w:rFonts w:ascii="微软雅黑" w:hAnsi="微软雅黑" w:eastAsia="微软雅黑" w:cs="Calibri"/>
          <w:color w:val="A6A6A6" w:themeColor="background1" w:themeShade="A6"/>
          <w:sz w:val="21"/>
          <w:szCs w:val="21"/>
        </w:rPr>
      </w:pPr>
      <w:r>
        <w:rPr>
          <w:rFonts w:hint="eastAsia" w:ascii="微软雅黑" w:hAnsi="微软雅黑" w:eastAsia="微软雅黑" w:cs="Calibri"/>
          <w:color w:val="A6A6A6" w:themeColor="background1" w:themeShade="A6"/>
          <w:sz w:val="21"/>
          <w:szCs w:val="21"/>
        </w:rPr>
        <w:t>（内容来源：德邦证券股份有限公司202</w:t>
      </w:r>
      <w:r>
        <w:rPr>
          <w:rFonts w:ascii="微软雅黑" w:hAnsi="微软雅黑" w:eastAsia="微软雅黑" w:cs="Calibri"/>
          <w:color w:val="A6A6A6" w:themeColor="background1" w:themeShade="A6"/>
          <w:sz w:val="21"/>
          <w:szCs w:val="21"/>
        </w:rPr>
        <w:t>3</w:t>
      </w:r>
      <w:r>
        <w:rPr>
          <w:rFonts w:hint="eastAsia" w:ascii="微软雅黑" w:hAnsi="微软雅黑" w:eastAsia="微软雅黑" w:cs="Calibri"/>
          <w:color w:val="A6A6A6" w:themeColor="background1" w:themeShade="A6"/>
          <w:sz w:val="21"/>
          <w:szCs w:val="21"/>
        </w:rPr>
        <w:t>-</w:t>
      </w:r>
      <w:r>
        <w:rPr>
          <w:rFonts w:ascii="微软雅黑" w:hAnsi="微软雅黑" w:eastAsia="微软雅黑"/>
          <w:color w:val="999999"/>
          <w:sz w:val="21"/>
          <w:szCs w:val="21"/>
          <w:shd w:val="clear" w:color="auto" w:fill="FFFFFF"/>
        </w:rPr>
        <w:t>07</w:t>
      </w:r>
      <w:r>
        <w:rPr>
          <w:rFonts w:hint="eastAsia" w:ascii="微软雅黑" w:hAnsi="微软雅黑" w:eastAsia="微软雅黑"/>
          <w:color w:val="999999"/>
          <w:sz w:val="21"/>
          <w:szCs w:val="21"/>
          <w:shd w:val="clear" w:color="auto" w:fill="FFFFFF"/>
        </w:rPr>
        <w:t>-</w:t>
      </w:r>
      <w:r>
        <w:rPr>
          <w:rFonts w:ascii="微软雅黑" w:hAnsi="微软雅黑" w:eastAsia="微软雅黑"/>
          <w:color w:val="999999"/>
          <w:sz w:val="21"/>
          <w:szCs w:val="21"/>
          <w:shd w:val="clear" w:color="auto" w:fill="FFFFFF"/>
        </w:rPr>
        <w:t>12</w:t>
      </w:r>
      <w:r>
        <w:rPr>
          <w:rFonts w:hint="eastAsia" w:ascii="微软雅黑" w:hAnsi="微软雅黑" w:eastAsia="微软雅黑" w:cs="Calibri"/>
          <w:color w:val="A6A6A6" w:themeColor="background1" w:themeShade="A6"/>
          <w:sz w:val="21"/>
          <w:szCs w:val="21"/>
        </w:rPr>
        <w:t>）</w:t>
      </w:r>
    </w:p>
    <w:p>
      <w:pPr>
        <w:ind w:firstLine="562" w:firstLineChars="200"/>
        <w:rPr>
          <w:rFonts w:ascii="仿宋" w:hAnsi="仿宋" w:eastAsia="仿宋" w:cs="仿宋"/>
          <w:color w:val="333333"/>
          <w:kern w:val="0"/>
          <w:sz w:val="28"/>
          <w:szCs w:val="28"/>
          <w:shd w:val="clear" w:color="auto" w:fill="FFFFFF"/>
        </w:rPr>
      </w:pPr>
      <w:r>
        <w:rPr>
          <w:rFonts w:hint="eastAsia" w:ascii="仿宋" w:hAnsi="仿宋" w:eastAsia="仿宋" w:cs="仿宋"/>
          <w:b/>
          <w:bCs/>
          <w:color w:val="333333"/>
          <w:sz w:val="28"/>
          <w:szCs w:val="28"/>
          <w:shd w:val="clear" w:color="auto" w:fill="FFFFFF"/>
        </w:rPr>
        <w:t>2.</w:t>
      </w:r>
      <w:r>
        <w:rPr>
          <w:rFonts w:hint="eastAsia" w:ascii="仿宋" w:hAnsi="仿宋" w:eastAsia="仿宋" w:cs="仿宋"/>
          <w:b/>
          <w:bCs/>
          <w:color w:val="333333"/>
          <w:kern w:val="0"/>
          <w:sz w:val="28"/>
          <w:szCs w:val="28"/>
          <w:shd w:val="clear" w:color="auto" w:fill="FFFFFF"/>
        </w:rPr>
        <w:t>电力设备及新能源行业绿电专题报告：绿色转型，风光无限</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发展清洁、绿色能源已经成全球共识，风光为新增装机主力。截至2023年7月，全球共有150个国家提出实现碳中和的时间，覆盖全球89%的人口、88%的排放量和92%的GDP。中国、欧洲和美国是风光装机最主要的市场，2022年底中美欧风光装机占全球市场的比例合计达到77%。截至2022年底，全球风电累计装机899GW，2022年发电量2157TWh；光伏累计装机1052GW，2022年发电量1286TWh，风光发电量占比超过12%。全球GDP的增长与电力消费正相关，新增的电力需求主要由风电和光伏贡献，2022-2050年风光发电量或将以年均10%的速度增长（2022-2030年年均增速为21%），这要求风光装机量以年均9%的速度增长（2022-2030年年均增速需达20%），到2050年全球风光发电量及装机占比均将达到约70%。</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扩大同步电网规模是未来趋势。为提高电网的资源配置能力、安全可靠性和规模经济性，世界主要国家电网的发展趋势是同步电网规模逐步扩大。特高压输电工程将成为我国电网重点投资方向，输送清洁能源比重将不断上升，2021年我国17条直流特高压线路年输送电量的58.7%来自可再生能源，同比提升12.8pct。</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可再生能源发电成本下降，风光配储经济性提高，碳交易带来新弹性。2010-2021年间，光伏、陆风、海风加权平均LCOE分别下降88%、68%、60%，风光相比火电成本优势显著。风光配储经济性提升，测算组件降至1.33元/W，储能单位投资成本为1.7元/Wh，光伏配储IRR可达7.64%。全球碳市场推进加速，有望带来运营商业绩弹性。</w:t>
      </w:r>
    </w:p>
    <w:p>
      <w:pPr>
        <w:ind w:firstLine="560" w:firstLineChars="200"/>
        <w:jc w:val="left"/>
        <w:rPr>
          <w:rFonts w:ascii="仿宋" w:hAnsi="仿宋" w:eastAsia="仿宋" w:cs="仿宋"/>
          <w:bCs/>
          <w:color w:val="333333"/>
          <w:kern w:val="0"/>
          <w:sz w:val="28"/>
          <w:szCs w:val="28"/>
          <w:shd w:val="clear" w:color="auto" w:fill="FFFFFF"/>
        </w:rPr>
      </w:pPr>
      <w:r>
        <w:rPr>
          <w:rFonts w:hint="eastAsia" w:ascii="仿宋" w:hAnsi="仿宋" w:eastAsia="仿宋" w:cs="仿宋"/>
          <w:bCs/>
          <w:color w:val="333333"/>
          <w:kern w:val="0"/>
          <w:sz w:val="28"/>
          <w:szCs w:val="28"/>
          <w:shd w:val="clear" w:color="auto" w:fill="FFFFFF"/>
        </w:rPr>
        <w:t>能源转型是国际社会近年来的最强共识，俄乌局势下带来能源不确定性，全球范围内新能源替代传统能源的进程有望加速。建议把握估值回调后的布局机会，中长期业绩弹性与持续性检验竞争力，建议关注光伏、风电、储能等产业链存在较大预期差的制造端龙头公司，及受益于装机规模快速增长的绿电运营商。</w:t>
      </w:r>
    </w:p>
    <w:p>
      <w:pPr>
        <w:pStyle w:val="7"/>
        <w:spacing w:before="156" w:beforeLines="50" w:beforeAutospacing="0" w:after="156" w:afterLines="50" w:afterAutospacing="0" w:line="360" w:lineRule="auto"/>
        <w:ind w:firstLine="561"/>
        <w:jc w:val="right"/>
        <w:rPr>
          <w:rFonts w:ascii="仿宋" w:hAnsi="仿宋" w:eastAsia="仿宋" w:cs="仿宋"/>
          <w:b/>
          <w:sz w:val="28"/>
          <w:szCs w:val="28"/>
        </w:rPr>
      </w:pPr>
      <w:r>
        <w:rPr>
          <w:rFonts w:hint="eastAsia" w:ascii="微软雅黑" w:hAnsi="微软雅黑" w:eastAsia="微软雅黑" w:cs="Calibri"/>
          <w:color w:val="A6A6A6" w:themeColor="background1" w:themeShade="A6"/>
          <w:sz w:val="21"/>
          <w:szCs w:val="21"/>
        </w:rPr>
        <w:t xml:space="preserve"> （内容来源：华金证券股份有限公司202</w:t>
      </w:r>
      <w:r>
        <w:rPr>
          <w:rFonts w:ascii="微软雅黑" w:hAnsi="微软雅黑" w:eastAsia="微软雅黑" w:cs="Calibri"/>
          <w:color w:val="A6A6A6" w:themeColor="background1" w:themeShade="A6"/>
          <w:sz w:val="21"/>
          <w:szCs w:val="21"/>
        </w:rPr>
        <w:t>3</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07</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18</w:t>
      </w:r>
      <w:r>
        <w:rPr>
          <w:rFonts w:hint="eastAsia" w:ascii="微软雅黑" w:hAnsi="微软雅黑" w:eastAsia="微软雅黑" w:cs="Calibri"/>
          <w:color w:val="A6A6A6" w:themeColor="background1" w:themeShade="A6"/>
          <w:sz w:val="21"/>
          <w:szCs w:val="21"/>
        </w:rPr>
        <w:t>）</w:t>
      </w:r>
    </w:p>
    <w:p>
      <w:pPr>
        <w:ind w:firstLine="562" w:firstLineChars="200"/>
        <w:rPr>
          <w:rFonts w:ascii="仿宋" w:hAnsi="仿宋" w:eastAsia="仿宋" w:cs="仿宋"/>
          <w:b/>
          <w:bCs/>
          <w:color w:val="333333"/>
          <w:kern w:val="0"/>
          <w:sz w:val="28"/>
          <w:szCs w:val="28"/>
          <w:shd w:val="clear" w:color="auto" w:fill="FFFFFF"/>
        </w:rPr>
      </w:pPr>
      <w:r>
        <w:rPr>
          <w:rFonts w:hint="eastAsia" w:ascii="仿宋" w:hAnsi="仿宋" w:eastAsia="仿宋" w:cs="仿宋"/>
          <w:b/>
          <w:bCs/>
          <w:color w:val="333333"/>
          <w:kern w:val="0"/>
          <w:sz w:val="28"/>
          <w:szCs w:val="28"/>
          <w:shd w:val="clear" w:color="auto" w:fill="FFFFFF"/>
        </w:rPr>
        <w:t>3.</w:t>
      </w:r>
      <w:r>
        <w:rPr>
          <w:rFonts w:hint="eastAsia"/>
        </w:rPr>
        <w:t xml:space="preserve"> </w:t>
      </w:r>
      <w:r>
        <w:rPr>
          <w:rFonts w:hint="eastAsia" w:ascii="仿宋" w:hAnsi="仿宋" w:eastAsia="仿宋" w:cs="仿宋"/>
          <w:b/>
          <w:bCs/>
          <w:color w:val="333333"/>
          <w:kern w:val="0"/>
          <w:sz w:val="28"/>
          <w:szCs w:val="28"/>
          <w:shd w:val="clear" w:color="auto" w:fill="FFFFFF"/>
        </w:rPr>
        <w:t>计算机行业深度报告：AI监管，铸就创新与安全平衡之道</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AI发展引发新的安全问题：以ChatGPT为代表的生成式人工智能正在重塑数字内容的生产方式和消费模式，显著地影响各行各业变革。今年以来，大模型技术与AIGC快速融合发展，大模型生成的内容能够达到“以假乱真”的效果。相应地，应用门槛的不断降低，使得“换脸”、“变声”等手段更容易实现，因AIGC滥用带来的虚假信息、偏见歧视乃至意识渗透等问题无法避免，对个人、机构乃至国家安全都存在较大的风险。因此对生成式人工智能服务的新监管需求也随着而来。目前。AI多带来的新安全问题主要包括AIGC内容安全和数据安全问题。</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AI监管：政策与法规先行：考虑到AI可能对社会带来的安全问题，安全标准、法律法规和自我监管是对AI进行监管较为重要的基石。政府层面，亟需出台监管政策对其加以规范，实现监管覆盖全面化，分阶段、全流程规范AIGC相关要素。企业层面，也需要通过被监管以消除社会对AI大模型的不信任。中国政府重视AI产业，国内网信办等7个部委发布的《生成式人工智能服务管理暂行办法》将于2023年8月15日起正式施行，同时《国务院2023年度立法工作计划》显示，《人工智能法》已列入立法计划，AI监管政策正加速推进。</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AI监管：平衡创新与安全、监管手段多样：AI监管主要是面向AIGC技术的违规应用，应对AIGC可能给社会、政治、金融、教育带来的危害，这是国家安全、社会安全的关键，因此，对于AI监管来说，要从内容安全机制、技术监管手段等层面进行突围。内容安全机制的原理是通过数据安全控制、算法备案和安全评估、内容安全合规等一系列流程确保生成内容符合法规和监管要求。技术监管手段的原理是利用AI对抗AI，通过海量测试数据集，对AIGC生成式模型的数据、过程、生成内容进行全过程的测试、监管。</w:t>
      </w:r>
    </w:p>
    <w:p>
      <w:pPr>
        <w:ind w:firstLine="560" w:firstLineChars="200"/>
        <w:jc w:val="left"/>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AI监管有望催生千亿市场：2030年我国人工智能核心产业规模将超过1万亿元人民币。一般信息化投入中安全占比至少在5%-10%以上，而由于AI大模型特殊性，AI安全未来将成为所有参与方必须考虑的问题，贯穿从数据标注、模型训练和开发、内容生成、应用开发的事前-事中-事后全过程，投入力度不亚于传统安全投入，因此假设AI监管在整个产业链中的占比按照5%-10%来测算的话，我们预计到2030年国内AI大模型的监管市场规模将达到500-1000亿元。</w:t>
      </w:r>
    </w:p>
    <w:p>
      <w:pPr>
        <w:pStyle w:val="7"/>
        <w:spacing w:before="156" w:beforeLines="50" w:beforeAutospacing="0" w:after="156" w:afterLines="50" w:afterAutospacing="0" w:line="360" w:lineRule="auto"/>
        <w:ind w:firstLine="561"/>
        <w:jc w:val="right"/>
        <w:rPr>
          <w:rFonts w:hint="eastAsia" w:ascii="微软雅黑" w:hAnsi="微软雅黑" w:eastAsia="微软雅黑" w:cs="Calibri"/>
          <w:color w:val="A6A6A6" w:themeColor="background1" w:themeShade="A6"/>
          <w:sz w:val="21"/>
          <w:szCs w:val="21"/>
        </w:rPr>
      </w:pPr>
      <w:r>
        <w:rPr>
          <w:rFonts w:hint="eastAsia" w:ascii="仿宋" w:hAnsi="仿宋" w:eastAsia="仿宋" w:cs="仿宋"/>
          <w:color w:val="333333"/>
          <w:sz w:val="28"/>
          <w:szCs w:val="28"/>
          <w:shd w:val="clear" w:color="auto" w:fill="FFFFFF"/>
        </w:rPr>
        <w:t xml:space="preserve">                  </w:t>
      </w:r>
      <w:r>
        <w:rPr>
          <w:rFonts w:hint="eastAsia" w:ascii="微软雅黑" w:hAnsi="微软雅黑" w:eastAsia="微软雅黑" w:cs="Calibri"/>
          <w:color w:val="A6A6A6" w:themeColor="background1" w:themeShade="A6"/>
          <w:sz w:val="21"/>
          <w:szCs w:val="21"/>
        </w:rPr>
        <w:t>（内容来源：东吴证券有限责任公司202</w:t>
      </w:r>
      <w:r>
        <w:rPr>
          <w:rFonts w:ascii="微软雅黑" w:hAnsi="微软雅黑" w:eastAsia="微软雅黑" w:cs="Calibri"/>
          <w:color w:val="A6A6A6" w:themeColor="background1" w:themeShade="A6"/>
          <w:sz w:val="21"/>
          <w:szCs w:val="21"/>
        </w:rPr>
        <w:t>3</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07</w:t>
      </w:r>
      <w:r>
        <w:rPr>
          <w:rFonts w:hint="eastAsia" w:ascii="微软雅黑" w:hAnsi="微软雅黑" w:eastAsia="微软雅黑" w:cs="Calibri"/>
          <w:color w:val="A6A6A6" w:themeColor="background1" w:themeShade="A6"/>
          <w:sz w:val="21"/>
          <w:szCs w:val="21"/>
        </w:rPr>
        <w:t>-</w:t>
      </w:r>
      <w:r>
        <w:rPr>
          <w:rFonts w:ascii="微软雅黑" w:hAnsi="微软雅黑" w:eastAsia="微软雅黑" w:cs="Calibri"/>
          <w:color w:val="A6A6A6" w:themeColor="background1" w:themeShade="A6"/>
          <w:sz w:val="21"/>
          <w:szCs w:val="21"/>
        </w:rPr>
        <w:t>2</w:t>
      </w:r>
      <w:r>
        <w:rPr>
          <w:rFonts w:hint="eastAsia" w:ascii="微软雅黑" w:hAnsi="微软雅黑" w:eastAsia="微软雅黑" w:cs="Calibri"/>
          <w:color w:val="A6A6A6" w:themeColor="background1" w:themeShade="A6"/>
          <w:sz w:val="21"/>
          <w:szCs w:val="21"/>
        </w:rPr>
        <w:t>4）</w:t>
      </w:r>
    </w:p>
    <w:p>
      <w:pPr>
        <w:spacing w:before="156" w:beforeLines="50" w:after="156" w:afterLines="50"/>
        <w:rPr>
          <w:rFonts w:ascii="仿宋" w:hAnsi="仿宋" w:eastAsia="仿宋"/>
          <w:b/>
          <w:sz w:val="28"/>
        </w:rPr>
      </w:pPr>
      <w:r>
        <w:rPr>
          <w:rFonts w:ascii="仿宋" w:hAnsi="仿宋" w:eastAsia="仿宋"/>
          <w:b/>
          <w:sz w:val="28"/>
        </w:rPr>
        <w:t>三</w:t>
      </w:r>
      <w:r>
        <w:rPr>
          <w:rFonts w:hint="eastAsia" w:ascii="仿宋" w:hAnsi="仿宋" w:eastAsia="仿宋"/>
          <w:b/>
          <w:sz w:val="28"/>
        </w:rPr>
        <w:t>、河南辖区上市公司基本情况</w:t>
      </w:r>
    </w:p>
    <w:p>
      <w:pPr>
        <w:spacing w:line="360" w:lineRule="auto"/>
        <w:ind w:firstLine="560" w:firstLineChars="200"/>
        <w:rPr>
          <w:rFonts w:ascii="仿宋" w:hAnsi="仿宋" w:eastAsia="仿宋"/>
          <w:sz w:val="28"/>
        </w:rPr>
      </w:pPr>
      <w:r>
        <w:rPr>
          <w:rFonts w:hint="eastAsia" w:ascii="仿宋" w:hAnsi="仿宋" w:eastAsia="仿宋"/>
          <w:sz w:val="28"/>
        </w:rPr>
        <w:t>截至2023年7月31日,河南辖区共有</w:t>
      </w:r>
      <w:r>
        <w:rPr>
          <w:rFonts w:ascii="仿宋" w:hAnsi="仿宋" w:eastAsia="仿宋"/>
          <w:sz w:val="28"/>
        </w:rPr>
        <w:t>A股上市公司110</w:t>
      </w:r>
      <w:r>
        <w:rPr>
          <w:rFonts w:hint="eastAsia" w:ascii="仿宋" w:hAnsi="仿宋" w:eastAsia="仿宋"/>
          <w:sz w:val="28"/>
        </w:rPr>
        <w:t>家。位居全国第12位（按照协会口径统计）。其中上交所主板29家，科创板5家，深交所主板36家、创业板28家。</w:t>
      </w:r>
    </w:p>
    <w:p>
      <w:pPr>
        <w:spacing w:line="360" w:lineRule="auto"/>
        <w:ind w:firstLine="560" w:firstLineChars="200"/>
        <w:rPr>
          <w:rFonts w:ascii="仿宋" w:hAnsi="仿宋" w:eastAsia="仿宋"/>
          <w:sz w:val="28"/>
        </w:rPr>
      </w:pPr>
      <w:r>
        <w:rPr>
          <w:rFonts w:hint="eastAsia" w:ascii="仿宋" w:hAnsi="仿宋" w:eastAsia="仿宋"/>
          <w:sz w:val="28"/>
        </w:rPr>
        <w:t>截至2023年7月31日,河南辖区A股上市公司的总市值为14,436.60亿元，占</w:t>
      </w:r>
      <w:r>
        <w:rPr>
          <w:rFonts w:ascii="仿宋" w:hAnsi="仿宋" w:eastAsia="仿宋"/>
          <w:sz w:val="28"/>
        </w:rPr>
        <w:t>A股上市公司总市值的1.51%</w:t>
      </w:r>
      <w:r>
        <w:rPr>
          <w:rFonts w:hint="eastAsia" w:ascii="仿宋" w:hAnsi="仿宋" w:eastAsia="仿宋"/>
          <w:sz w:val="28"/>
        </w:rPr>
        <w:t>。2023年河南辖区上市公司再融资（含增发、配股）募集资金总额为</w:t>
      </w:r>
      <w:r>
        <w:rPr>
          <w:rFonts w:ascii="仿宋" w:hAnsi="仿宋" w:eastAsia="仿宋"/>
          <w:sz w:val="28"/>
        </w:rPr>
        <w:t>11.68</w:t>
      </w:r>
      <w:r>
        <w:rPr>
          <w:rFonts w:hint="eastAsia" w:ascii="仿宋" w:hAnsi="仿宋" w:eastAsia="仿宋"/>
          <w:sz w:val="28"/>
        </w:rPr>
        <w:t>亿元。</w:t>
      </w:r>
    </w:p>
    <w:p>
      <w:pPr>
        <w:spacing w:before="156" w:beforeLines="50" w:after="156" w:afterLines="50" w:line="360" w:lineRule="auto"/>
        <w:jc w:val="center"/>
        <w:rPr>
          <w:rFonts w:ascii="仿宋" w:hAnsi="仿宋" w:eastAsia="仿宋"/>
          <w:b/>
          <w:sz w:val="24"/>
        </w:rPr>
      </w:pPr>
      <w:r>
        <w:rPr>
          <w:rFonts w:hint="eastAsia" w:ascii="仿宋" w:hAnsi="仿宋" w:eastAsia="仿宋"/>
          <w:b/>
          <w:sz w:val="24"/>
        </w:rPr>
        <w:t>图1　上市公司市值排名行业分布图</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5086350" cy="2743200"/>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rFonts w:ascii="仿宋" w:hAnsi="仿宋" w:eastAsia="仿宋"/>
          <w:b/>
          <w:sz w:val="24"/>
        </w:rPr>
      </w:pPr>
    </w:p>
    <w:p>
      <w:pPr>
        <w:spacing w:before="156" w:beforeLines="50" w:after="156" w:afterLines="50" w:line="360" w:lineRule="auto"/>
        <w:jc w:val="center"/>
        <w:rPr>
          <w:rFonts w:ascii="仿宋" w:hAnsi="仿宋" w:eastAsia="仿宋"/>
          <w:b/>
          <w:sz w:val="24"/>
        </w:rPr>
      </w:pPr>
      <w:r>
        <w:rPr>
          <w:rFonts w:hint="eastAsia" w:ascii="仿宋" w:hAnsi="仿宋" w:eastAsia="仿宋"/>
          <w:b/>
          <w:sz w:val="24"/>
        </w:rPr>
        <w:t>图2  市值排名前十的</w:t>
      </w:r>
      <w:r>
        <w:rPr>
          <w:rFonts w:ascii="仿宋" w:hAnsi="仿宋" w:eastAsia="仿宋"/>
          <w:b/>
          <w:sz w:val="24"/>
        </w:rPr>
        <w:t>上市公司</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5086350" cy="2743200"/>
            <wp:effectExtent l="4445" t="4445" r="14605" b="825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rPr>
          <w:rFonts w:ascii="仿宋" w:hAnsi="仿宋" w:eastAsia="仿宋"/>
          <w:b/>
          <w:sz w:val="24"/>
        </w:rPr>
      </w:pPr>
      <w:r>
        <w:rPr>
          <w:rFonts w:ascii="仿宋" w:hAnsi="仿宋" w:eastAsia="仿宋"/>
          <w:b/>
          <w:sz w:val="24"/>
        </w:rPr>
        <w:t>图3  月成交额排名前十的上市公司</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5086350" cy="257175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before="156" w:beforeLines="50" w:after="156" w:afterLines="50"/>
        <w:rPr>
          <w:rFonts w:ascii="仿宋" w:hAnsi="仿宋" w:eastAsia="仿宋"/>
          <w:b/>
          <w:sz w:val="28"/>
        </w:rPr>
      </w:pPr>
      <w:r>
        <w:rPr>
          <w:rFonts w:hint="eastAsia" w:ascii="仿宋" w:hAnsi="仿宋" w:eastAsia="仿宋"/>
          <w:b/>
          <w:sz w:val="28"/>
        </w:rPr>
        <w:t>四、河南辖区上市公司7月市场表现分析</w:t>
      </w:r>
    </w:p>
    <w:p>
      <w:pPr>
        <w:ind w:firstLine="560" w:firstLineChars="200"/>
        <w:rPr>
          <w:rFonts w:ascii="仿宋" w:hAnsi="仿宋" w:eastAsia="仿宋"/>
          <w:color w:val="000000" w:themeColor="text1"/>
          <w:sz w:val="28"/>
          <w14:textFill>
            <w14:solidFill>
              <w14:schemeClr w14:val="tx1"/>
            </w14:solidFill>
          </w14:textFill>
        </w:rPr>
      </w:pPr>
      <w:r>
        <w:rPr>
          <w:rFonts w:ascii="仿宋" w:hAnsi="仿宋" w:eastAsia="仿宋" w:cs="仿宋"/>
          <w:sz w:val="28"/>
          <w:szCs w:val="28"/>
        </w:rPr>
        <w:t>7</w:t>
      </w:r>
      <w:r>
        <w:rPr>
          <w:rFonts w:hint="eastAsia" w:ascii="仿宋" w:hAnsi="仿宋" w:eastAsia="仿宋" w:cs="仿宋"/>
          <w:sz w:val="28"/>
          <w:szCs w:val="28"/>
        </w:rPr>
        <w:t>月初期市场整体仍以回调整理为主。三大指数再度全线下跌，两市超3000家个股飘绿。1</w:t>
      </w:r>
      <w:r>
        <w:rPr>
          <w:rFonts w:ascii="仿宋" w:hAnsi="仿宋" w:eastAsia="仿宋" w:cs="仿宋"/>
          <w:sz w:val="28"/>
          <w:szCs w:val="28"/>
        </w:rPr>
        <w:t>3</w:t>
      </w:r>
      <w:r>
        <w:rPr>
          <w:rFonts w:hint="eastAsia" w:ascii="仿宋" w:hAnsi="仿宋" w:eastAsia="仿宋" w:cs="仿宋"/>
          <w:sz w:val="28"/>
          <w:szCs w:val="28"/>
        </w:rPr>
        <w:t>日三大指数在大涨基础上惯性高开，此后股指呈现沪强深弱态势，光伏、锂电池等新能源赛道拖累创业板、科创板指数震荡走弱，AI以及中字头板块支撑沪指最终微幅收高。2</w:t>
      </w:r>
      <w:r>
        <w:rPr>
          <w:rFonts w:ascii="仿宋" w:hAnsi="仿宋" w:eastAsia="仿宋" w:cs="仿宋"/>
          <w:sz w:val="28"/>
          <w:szCs w:val="28"/>
        </w:rPr>
        <w:t>1</w:t>
      </w:r>
      <w:r>
        <w:rPr>
          <w:rFonts w:hint="eastAsia" w:ascii="仿宋" w:hAnsi="仿宋" w:eastAsia="仿宋" w:cs="仿宋"/>
          <w:sz w:val="28"/>
          <w:szCs w:val="28"/>
        </w:rPr>
        <w:t>日三大指数集体低开，截至收盘，沪指跌0.06%，深成指跌0.06%，创业板指涨0.35%。28日大盘全天低开高走，三大指数均涨超1.5%，上证50指数涨近3%。大金融股集体走强，消费股盘中活跃，零售股领涨，半导体板块陷入调整。</w:t>
      </w:r>
      <w:r>
        <w:rPr>
          <w:rFonts w:ascii="仿宋" w:hAnsi="仿宋" w:eastAsia="仿宋"/>
          <w:color w:val="000000" w:themeColor="text1"/>
          <w:sz w:val="28"/>
          <w14:textFill>
            <w14:solidFill>
              <w14:schemeClr w14:val="tx1"/>
            </w14:solidFill>
          </w14:textFill>
        </w:rPr>
        <w:t>及至月末，上证综指上涨1.45%</w:t>
      </w:r>
      <w:r>
        <w:rPr>
          <w:rFonts w:hint="eastAsia" w:ascii="仿宋" w:hAnsi="仿宋" w:eastAsia="仿宋"/>
          <w:color w:val="000000" w:themeColor="text1"/>
          <w:sz w:val="28"/>
          <w14:textFill>
            <w14:solidFill>
              <w14:schemeClr w14:val="tx1"/>
            </w14:solidFill>
          </w14:textFill>
        </w:rPr>
        <w:t>，报收</w:t>
      </w:r>
      <w:r>
        <w:rPr>
          <w:rFonts w:ascii="仿宋" w:hAnsi="仿宋" w:eastAsia="仿宋"/>
          <w:color w:val="000000" w:themeColor="text1"/>
          <w:sz w:val="28"/>
          <w14:textFill>
            <w14:solidFill>
              <w14:schemeClr w14:val="tx1"/>
            </w14:solidFill>
          </w14:textFill>
        </w:rPr>
        <w:t>3,291.04</w:t>
      </w:r>
      <w:r>
        <w:rPr>
          <w:rFonts w:hint="eastAsia" w:ascii="仿宋" w:hAnsi="仿宋" w:eastAsia="仿宋"/>
          <w:color w:val="000000" w:themeColor="text1"/>
          <w:sz w:val="28"/>
          <w14:textFill>
            <w14:solidFill>
              <w14:schemeClr w14:val="tx1"/>
            </w14:solidFill>
          </w14:textFill>
        </w:rPr>
        <w:t>点；深证成指</w:t>
      </w:r>
      <w:r>
        <w:rPr>
          <w:rFonts w:ascii="仿宋" w:hAnsi="仿宋" w:eastAsia="仿宋"/>
          <w:color w:val="000000" w:themeColor="text1"/>
          <w:sz w:val="28"/>
          <w14:textFill>
            <w14:solidFill>
              <w14:schemeClr w14:val="tx1"/>
            </w14:solidFill>
          </w14:textFill>
        </w:rPr>
        <w:t>上涨0.83%</w:t>
      </w:r>
      <w:r>
        <w:rPr>
          <w:rFonts w:hint="eastAsia" w:ascii="仿宋" w:hAnsi="仿宋" w:eastAsia="仿宋"/>
          <w:color w:val="000000" w:themeColor="text1"/>
          <w:sz w:val="28"/>
          <w14:textFill>
            <w14:solidFill>
              <w14:schemeClr w14:val="tx1"/>
            </w14:solidFill>
          </w14:textFill>
        </w:rPr>
        <w:t>，报收</w:t>
      </w:r>
      <w:r>
        <w:rPr>
          <w:rFonts w:ascii="仿宋" w:hAnsi="仿宋" w:eastAsia="仿宋"/>
          <w:color w:val="000000" w:themeColor="text1"/>
          <w:sz w:val="28"/>
          <w14:textFill>
            <w14:solidFill>
              <w14:schemeClr w14:val="tx1"/>
            </w14:solidFill>
          </w14:textFill>
        </w:rPr>
        <w:t>11,183.91</w:t>
      </w:r>
      <w:r>
        <w:rPr>
          <w:rFonts w:hint="eastAsia" w:ascii="仿宋" w:hAnsi="仿宋" w:eastAsia="仿宋"/>
          <w:color w:val="000000" w:themeColor="text1"/>
          <w:sz w:val="28"/>
          <w14:textFill>
            <w14:solidFill>
              <w14:schemeClr w14:val="tx1"/>
            </w14:solidFill>
          </w14:textFill>
        </w:rPr>
        <w:t>点；创业板指上涨0.38%，报收</w:t>
      </w:r>
      <w:r>
        <w:rPr>
          <w:rFonts w:ascii="仿宋" w:hAnsi="仿宋" w:eastAsia="仿宋"/>
          <w:color w:val="000000" w:themeColor="text1"/>
          <w:sz w:val="28"/>
          <w14:textFill>
            <w14:solidFill>
              <w14:schemeClr w14:val="tx1"/>
            </w14:solidFill>
          </w14:textFill>
        </w:rPr>
        <w:t>2,236.67</w:t>
      </w:r>
      <w:r>
        <w:rPr>
          <w:rFonts w:hint="eastAsia" w:ascii="仿宋" w:hAnsi="仿宋" w:eastAsia="仿宋"/>
          <w:color w:val="000000" w:themeColor="text1"/>
          <w:sz w:val="28"/>
          <w14:textFill>
            <w14:solidFill>
              <w14:schemeClr w14:val="tx1"/>
            </w14:solidFill>
          </w14:textFill>
        </w:rPr>
        <w:t>点。</w:t>
      </w:r>
    </w:p>
    <w:p>
      <w:pPr>
        <w:spacing w:after="156" w:afterLines="50"/>
        <w:ind w:firstLine="560" w:firstLineChars="200"/>
        <w:rPr>
          <w:rFonts w:ascii="仿宋" w:hAnsi="仿宋" w:eastAsia="仿宋"/>
          <w:b/>
          <w:sz w:val="24"/>
        </w:rPr>
      </w:pPr>
      <w:r>
        <w:rPr>
          <w:rFonts w:hint="eastAsia" w:ascii="仿宋" w:hAnsi="仿宋" w:eastAsia="仿宋"/>
          <w:sz w:val="28"/>
        </w:rPr>
        <w:t>2023年7月，河南</w:t>
      </w:r>
      <w:r>
        <w:rPr>
          <w:rFonts w:ascii="仿宋" w:hAnsi="仿宋" w:eastAsia="仿宋"/>
          <w:sz w:val="28"/>
        </w:rPr>
        <w:t>辖区</w:t>
      </w:r>
      <w:r>
        <w:rPr>
          <w:rFonts w:hint="eastAsia" w:ascii="仿宋" w:hAnsi="仿宋" w:eastAsia="仿宋"/>
          <w:sz w:val="28"/>
        </w:rPr>
        <w:t>涨幅排名前10位的股票中，材料占据3席，日常消费、可选消费和工业各占据2席，金融占据1席，涨幅最大的是利通科技，</w:t>
      </w:r>
      <w:r>
        <w:rPr>
          <w:rFonts w:ascii="仿宋" w:hAnsi="仿宋" w:eastAsia="仿宋"/>
          <w:sz w:val="28"/>
        </w:rPr>
        <w:t>上涨</w:t>
      </w:r>
      <w:r>
        <w:rPr>
          <w:rFonts w:hint="eastAsia" w:ascii="仿宋" w:hAnsi="仿宋" w:eastAsia="仿宋"/>
          <w:sz w:val="28"/>
        </w:rPr>
        <w:t>30.39%；其次是秋乐种业，</w:t>
      </w:r>
      <w:r>
        <w:rPr>
          <w:rFonts w:ascii="仿宋" w:hAnsi="仿宋" w:eastAsia="仿宋"/>
          <w:sz w:val="28"/>
        </w:rPr>
        <w:t>上涨</w:t>
      </w:r>
      <w:r>
        <w:rPr>
          <w:rFonts w:hint="eastAsia" w:ascii="仿宋" w:hAnsi="仿宋" w:eastAsia="仿宋"/>
          <w:sz w:val="28"/>
        </w:rPr>
        <w:t>28.82%。</w:t>
      </w:r>
    </w:p>
    <w:p>
      <w:pPr>
        <w:spacing w:after="156" w:afterLines="50"/>
        <w:jc w:val="center"/>
        <w:rPr>
          <w:rFonts w:ascii="仿宋" w:hAnsi="仿宋" w:eastAsia="仿宋"/>
          <w:b/>
          <w:sz w:val="24"/>
        </w:rPr>
      </w:pPr>
      <w:r>
        <w:rPr>
          <w:rFonts w:hint="eastAsia" w:ascii="仿宋" w:hAnsi="仿宋" w:eastAsia="仿宋"/>
          <w:b/>
          <w:sz w:val="24"/>
        </w:rPr>
        <w:t>表1  月涨幅前10的股票</w:t>
      </w:r>
    </w:p>
    <w:tbl>
      <w:tblPr>
        <w:tblStyle w:val="9"/>
        <w:tblW w:w="10060" w:type="dxa"/>
        <w:jc w:val="center"/>
        <w:tblLayout w:type="fixed"/>
        <w:tblCellMar>
          <w:top w:w="0" w:type="dxa"/>
          <w:left w:w="108" w:type="dxa"/>
          <w:bottom w:w="0" w:type="dxa"/>
          <w:right w:w="108" w:type="dxa"/>
        </w:tblCellMar>
      </w:tblPr>
      <w:tblGrid>
        <w:gridCol w:w="705"/>
        <w:gridCol w:w="1276"/>
        <w:gridCol w:w="1133"/>
        <w:gridCol w:w="1556"/>
        <w:gridCol w:w="1714"/>
        <w:gridCol w:w="1767"/>
        <w:gridCol w:w="1909"/>
      </w:tblGrid>
      <w:tr>
        <w:tblPrEx>
          <w:tblCellMar>
            <w:top w:w="0" w:type="dxa"/>
            <w:left w:w="108" w:type="dxa"/>
            <w:bottom w:w="0" w:type="dxa"/>
            <w:right w:w="108" w:type="dxa"/>
          </w:tblCellMar>
        </w:tblPrEx>
        <w:trPr>
          <w:trHeight w:val="27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证券代码</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证券简称</w:t>
            </w:r>
          </w:p>
        </w:tc>
        <w:tc>
          <w:tcPr>
            <w:tcW w:w="155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月涨幅（</w:t>
            </w:r>
            <w:r>
              <w:rPr>
                <w:rFonts w:ascii="仿宋" w:hAnsi="仿宋" w:eastAsia="仿宋"/>
                <w:b/>
                <w:color w:val="000000"/>
                <w:szCs w:val="21"/>
              </w:rPr>
              <w:t>%</w:t>
            </w:r>
            <w:r>
              <w:rPr>
                <w:rFonts w:hint="eastAsia" w:ascii="仿宋" w:hAnsi="仿宋" w:eastAsia="仿宋"/>
                <w:b/>
                <w:color w:val="000000"/>
                <w:szCs w:val="21"/>
              </w:rPr>
              <w:t>）</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收盘价</w:t>
            </w:r>
          </w:p>
          <w:p>
            <w:pPr>
              <w:widowControl/>
              <w:jc w:val="center"/>
              <w:rPr>
                <w:rFonts w:ascii="仿宋" w:hAnsi="仿宋" w:eastAsia="仿宋"/>
                <w:b/>
                <w:color w:val="000000"/>
                <w:szCs w:val="21"/>
              </w:rPr>
            </w:pPr>
            <w:r>
              <w:rPr>
                <w:rFonts w:ascii="仿宋" w:hAnsi="仿宋" w:eastAsia="仿宋"/>
                <w:b/>
                <w:color w:val="000000"/>
                <w:szCs w:val="21"/>
              </w:rPr>
              <w:t>（2023-07-31）</w:t>
            </w:r>
          </w:p>
        </w:tc>
        <w:tc>
          <w:tcPr>
            <w:tcW w:w="17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年涨跌幅（</w:t>
            </w:r>
            <w:r>
              <w:rPr>
                <w:rFonts w:ascii="仿宋" w:hAnsi="仿宋" w:eastAsia="仿宋"/>
                <w:b/>
                <w:color w:val="000000"/>
                <w:szCs w:val="21"/>
              </w:rPr>
              <w:t>%</w:t>
            </w:r>
            <w:r>
              <w:rPr>
                <w:rFonts w:hint="eastAsia" w:ascii="仿宋" w:hAnsi="仿宋" w:eastAsia="仿宋"/>
                <w:b/>
                <w:color w:val="000000"/>
                <w:szCs w:val="21"/>
              </w:rPr>
              <w:t>）</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所属行业（Wind）</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832225.BJ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利通科技</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30.39</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12.27</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10.22</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2</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831087.BJ</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秋乐种业</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28.82</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8.00</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w:t>
            </w:r>
            <w:r>
              <w:rPr>
                <w:rFonts w:ascii="仿宋" w:hAnsi="仿宋" w:eastAsia="仿宋"/>
                <w:color w:val="000000"/>
                <w:szCs w:val="21"/>
              </w:rPr>
              <w:t>0.11</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3</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000933.SZ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神火股份</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20.92</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15.72</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12.78</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4</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601375.SH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中原证券</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19.95</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4.45</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w:t>
            </w:r>
            <w:r>
              <w:rPr>
                <w:rFonts w:ascii="仿宋" w:hAnsi="仿宋" w:eastAsia="仿宋"/>
                <w:color w:val="000000"/>
                <w:szCs w:val="21"/>
              </w:rPr>
              <w:t>6.43</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金融</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5</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002431.SZ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棕榈股份</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18.52</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2.88</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w:t>
            </w:r>
            <w:r>
              <w:rPr>
                <w:rFonts w:ascii="仿宋" w:hAnsi="仿宋" w:eastAsia="仿宋"/>
                <w:color w:val="000000"/>
                <w:szCs w:val="21"/>
              </w:rPr>
              <w:t>2.40</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6</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603993.SH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洛阳钼业</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17.47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6.17</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w:t>
            </w:r>
            <w:r>
              <w:rPr>
                <w:rFonts w:ascii="仿宋" w:hAnsi="仿宋" w:eastAsia="仿宋"/>
                <w:color w:val="000000"/>
                <w:szCs w:val="21"/>
              </w:rPr>
              <w:t>9.39</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7</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002087.SZ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*ST新纺</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16.11</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2.09</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w:t>
            </w:r>
            <w:r>
              <w:rPr>
                <w:rFonts w:ascii="仿宋" w:hAnsi="仿宋" w:eastAsia="仿宋"/>
                <w:color w:val="000000"/>
                <w:szCs w:val="21"/>
              </w:rPr>
              <w:t>1.43</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8</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300437.SZ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清水源</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15.88</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16.35</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w:t>
            </w:r>
            <w:r>
              <w:rPr>
                <w:rFonts w:ascii="仿宋" w:hAnsi="仿宋" w:eastAsia="仿宋"/>
                <w:color w:val="000000"/>
                <w:szCs w:val="21"/>
              </w:rPr>
              <w:t>8.55</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9</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600186.SH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莲花健康</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15.62</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3.33</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22.</w:t>
            </w:r>
            <w:r>
              <w:rPr>
                <w:rFonts w:ascii="仿宋" w:hAnsi="仿宋" w:eastAsia="仿宋"/>
                <w:color w:val="000000"/>
                <w:szCs w:val="21"/>
              </w:rPr>
              <w:t>51</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10</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301376.SZ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致欧科技</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15.44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27.36</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bl>
    <w:p>
      <w:pPr>
        <w:spacing w:before="156" w:beforeLines="50" w:after="156" w:afterLines="50"/>
        <w:ind w:firstLine="560" w:firstLineChars="200"/>
        <w:rPr>
          <w:rFonts w:ascii="仿宋" w:hAnsi="仿宋" w:eastAsia="仿宋"/>
          <w:sz w:val="28"/>
        </w:rPr>
      </w:pPr>
      <w:r>
        <w:rPr>
          <w:rFonts w:hint="eastAsia" w:ascii="仿宋" w:hAnsi="仿宋" w:eastAsia="仿宋"/>
          <w:sz w:val="28"/>
        </w:rPr>
        <w:t>跌幅前</w:t>
      </w:r>
      <w:r>
        <w:rPr>
          <w:rFonts w:ascii="仿宋" w:hAnsi="仿宋" w:eastAsia="仿宋"/>
          <w:sz w:val="28"/>
        </w:rPr>
        <w:t>10位的股票中，</w:t>
      </w:r>
      <w:r>
        <w:rPr>
          <w:rFonts w:hint="eastAsia" w:ascii="仿宋" w:hAnsi="仿宋" w:eastAsia="仿宋"/>
          <w:sz w:val="28"/>
        </w:rPr>
        <w:t>工业占据5席，信息技术占据3席，材料和可选消费各占据1席，跌幅最大的为仕佳光子，下跌23.93</w:t>
      </w:r>
      <w:r>
        <w:rPr>
          <w:rFonts w:ascii="仿宋" w:hAnsi="仿宋" w:eastAsia="仿宋"/>
          <w:sz w:val="28"/>
        </w:rPr>
        <w:t>%</w:t>
      </w:r>
      <w:r>
        <w:rPr>
          <w:rFonts w:hint="eastAsia" w:ascii="仿宋" w:hAnsi="仿宋" w:eastAsia="仿宋"/>
          <w:sz w:val="28"/>
        </w:rPr>
        <w:t>;其次为汉威科技，下跌20.47</w:t>
      </w:r>
      <w:r>
        <w:rPr>
          <w:rFonts w:ascii="仿宋" w:hAnsi="仿宋" w:eastAsia="仿宋"/>
          <w:sz w:val="28"/>
        </w:rPr>
        <w:t>%。</w:t>
      </w:r>
    </w:p>
    <w:p>
      <w:pPr>
        <w:spacing w:after="156" w:afterLines="50"/>
        <w:jc w:val="center"/>
        <w:rPr>
          <w:rFonts w:ascii="仿宋" w:hAnsi="仿宋" w:eastAsia="仿宋"/>
          <w:b/>
          <w:sz w:val="24"/>
        </w:rPr>
      </w:pPr>
    </w:p>
    <w:p>
      <w:pPr>
        <w:spacing w:after="156" w:afterLines="50"/>
        <w:jc w:val="center"/>
        <w:rPr>
          <w:rFonts w:ascii="仿宋" w:hAnsi="仿宋" w:eastAsia="仿宋"/>
          <w:b/>
          <w:sz w:val="24"/>
        </w:rPr>
      </w:pPr>
    </w:p>
    <w:p>
      <w:pPr>
        <w:spacing w:after="156" w:afterLines="50"/>
        <w:jc w:val="center"/>
        <w:rPr>
          <w:rFonts w:ascii="仿宋" w:hAnsi="仿宋" w:eastAsia="仿宋"/>
          <w:b/>
          <w:sz w:val="24"/>
        </w:rPr>
      </w:pPr>
    </w:p>
    <w:p>
      <w:pPr>
        <w:spacing w:after="156" w:afterLines="50"/>
        <w:jc w:val="center"/>
        <w:rPr>
          <w:rFonts w:ascii="仿宋" w:hAnsi="仿宋" w:eastAsia="仿宋"/>
          <w:b/>
          <w:sz w:val="24"/>
        </w:rPr>
      </w:pPr>
      <w:r>
        <w:rPr>
          <w:rFonts w:hint="eastAsia" w:ascii="仿宋" w:hAnsi="仿宋" w:eastAsia="仿宋"/>
          <w:b/>
          <w:sz w:val="24"/>
        </w:rPr>
        <w:t>表2  月跌幅前10的股票</w:t>
      </w:r>
    </w:p>
    <w:tbl>
      <w:tblPr>
        <w:tblStyle w:val="9"/>
        <w:tblW w:w="10060" w:type="dxa"/>
        <w:jc w:val="center"/>
        <w:tblLayout w:type="fixed"/>
        <w:tblCellMar>
          <w:top w:w="0" w:type="dxa"/>
          <w:left w:w="108" w:type="dxa"/>
          <w:bottom w:w="0" w:type="dxa"/>
          <w:right w:w="108" w:type="dxa"/>
        </w:tblCellMar>
      </w:tblPr>
      <w:tblGrid>
        <w:gridCol w:w="705"/>
        <w:gridCol w:w="1276"/>
        <w:gridCol w:w="1133"/>
        <w:gridCol w:w="1556"/>
        <w:gridCol w:w="1714"/>
        <w:gridCol w:w="1767"/>
        <w:gridCol w:w="1909"/>
      </w:tblGrid>
      <w:tr>
        <w:tblPrEx>
          <w:tblCellMar>
            <w:top w:w="0" w:type="dxa"/>
            <w:left w:w="108" w:type="dxa"/>
            <w:bottom w:w="0" w:type="dxa"/>
            <w:right w:w="108" w:type="dxa"/>
          </w:tblCellMar>
        </w:tblPrEx>
        <w:trPr>
          <w:trHeight w:val="27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证券代码</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证券简称</w:t>
            </w:r>
          </w:p>
        </w:tc>
        <w:tc>
          <w:tcPr>
            <w:tcW w:w="155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月跌幅（</w:t>
            </w:r>
            <w:r>
              <w:rPr>
                <w:rFonts w:ascii="仿宋" w:hAnsi="仿宋" w:eastAsia="仿宋"/>
                <w:b/>
                <w:color w:val="000000"/>
                <w:szCs w:val="21"/>
              </w:rPr>
              <w:t>%</w:t>
            </w:r>
            <w:r>
              <w:rPr>
                <w:rFonts w:hint="eastAsia" w:ascii="仿宋" w:hAnsi="仿宋" w:eastAsia="仿宋"/>
                <w:b/>
                <w:color w:val="000000"/>
                <w:szCs w:val="21"/>
              </w:rPr>
              <w:t>）</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收盘价</w:t>
            </w:r>
          </w:p>
          <w:p>
            <w:pPr>
              <w:widowControl/>
              <w:jc w:val="center"/>
              <w:rPr>
                <w:rFonts w:ascii="仿宋" w:hAnsi="仿宋" w:eastAsia="仿宋"/>
                <w:b/>
                <w:color w:val="000000"/>
                <w:szCs w:val="21"/>
              </w:rPr>
            </w:pPr>
            <w:r>
              <w:rPr>
                <w:rFonts w:ascii="仿宋" w:hAnsi="仿宋" w:eastAsia="仿宋"/>
                <w:b/>
                <w:color w:val="000000"/>
                <w:szCs w:val="21"/>
              </w:rPr>
              <w:t>（2023-07-31）</w:t>
            </w:r>
          </w:p>
        </w:tc>
        <w:tc>
          <w:tcPr>
            <w:tcW w:w="17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年涨跌幅（</w:t>
            </w:r>
            <w:r>
              <w:rPr>
                <w:rFonts w:ascii="仿宋" w:hAnsi="仿宋" w:eastAsia="仿宋"/>
                <w:b/>
                <w:color w:val="000000"/>
                <w:szCs w:val="21"/>
              </w:rPr>
              <w:t>%</w:t>
            </w:r>
            <w:r>
              <w:rPr>
                <w:rFonts w:hint="eastAsia" w:ascii="仿宋" w:hAnsi="仿宋" w:eastAsia="仿宋"/>
                <w:b/>
                <w:color w:val="000000"/>
                <w:szCs w:val="21"/>
              </w:rPr>
              <w:t>）</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所属行业（Wind）</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688313.SH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仕佳光子</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-23.93</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13.35</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47.5</w:t>
            </w:r>
            <w:r>
              <w:rPr>
                <w:rFonts w:ascii="仿宋" w:hAnsi="仿宋" w:eastAsia="仿宋"/>
                <w:color w:val="000000"/>
                <w:szCs w:val="21"/>
              </w:rPr>
              <w:t>6</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2</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300007.SZ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汉威科技</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-20.47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16.82</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-0.4</w:t>
            </w:r>
            <w:r>
              <w:rPr>
                <w:rFonts w:ascii="仿宋" w:hAnsi="仿宋" w:eastAsia="仿宋"/>
                <w:color w:val="000000"/>
                <w:szCs w:val="21"/>
              </w:rPr>
              <w:t>4</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3</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688517.SH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金冠电气</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-14.94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18.68</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62.</w:t>
            </w:r>
            <w:r>
              <w:rPr>
                <w:rFonts w:ascii="仿宋" w:hAnsi="仿宋" w:eastAsia="仿宋"/>
                <w:color w:val="000000"/>
                <w:szCs w:val="21"/>
              </w:rPr>
              <w:t>85</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4</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002536.SZ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飞龙股份</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-12.07</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13.19</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76.</w:t>
            </w:r>
            <w:r>
              <w:rPr>
                <w:rFonts w:ascii="仿宋" w:hAnsi="仿宋" w:eastAsia="仿宋"/>
                <w:color w:val="000000"/>
                <w:szCs w:val="21"/>
              </w:rPr>
              <w:t>22</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5</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301361.SZ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众智科技</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-11.71</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24.89</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3.55</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6</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600207.SH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安彩高科</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-11.28</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5.35</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-14.</w:t>
            </w:r>
            <w:r>
              <w:rPr>
                <w:rFonts w:ascii="仿宋" w:hAnsi="仿宋" w:eastAsia="仿宋"/>
                <w:color w:val="000000"/>
                <w:szCs w:val="21"/>
              </w:rPr>
              <w:t>56</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7</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002560.SZ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通达股份</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-10.08</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8.56</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w:t>
            </w:r>
            <w:r>
              <w:rPr>
                <w:rFonts w:ascii="仿宋" w:hAnsi="仿宋" w:eastAsia="仿宋"/>
                <w:color w:val="000000"/>
                <w:szCs w:val="21"/>
              </w:rPr>
              <w:t>2.43</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8</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300850.SZ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新强联</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-9.68</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33.76</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-36.</w:t>
            </w:r>
            <w:r>
              <w:rPr>
                <w:rFonts w:ascii="仿宋" w:hAnsi="仿宋" w:eastAsia="仿宋"/>
                <w:color w:val="000000"/>
                <w:szCs w:val="21"/>
              </w:rPr>
              <w:t>40</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9</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301071.SZ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力量钻石</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-9.50</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39.82</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w:t>
            </w:r>
            <w:r>
              <w:rPr>
                <w:rFonts w:ascii="仿宋" w:hAnsi="仿宋" w:eastAsia="仿宋"/>
                <w:color w:val="000000"/>
                <w:szCs w:val="21"/>
              </w:rPr>
              <w:t>39.87</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10</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300248.SZ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新开普</w:t>
            </w:r>
          </w:p>
        </w:tc>
        <w:tc>
          <w:tcPr>
            <w:tcW w:w="1556"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-9.49</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9.44</w:t>
            </w:r>
          </w:p>
        </w:tc>
        <w:tc>
          <w:tcPr>
            <w:tcW w:w="1767"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ascii="仿宋" w:hAnsi="仿宋" w:eastAsia="仿宋"/>
                <w:color w:val="000000"/>
                <w:szCs w:val="21"/>
              </w:rPr>
              <w:t>6.87</w:t>
            </w:r>
          </w:p>
        </w:tc>
        <w:tc>
          <w:tcPr>
            <w:tcW w:w="19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bl>
    <w:p>
      <w:pPr>
        <w:spacing w:before="156" w:beforeLines="50" w:after="156" w:afterLines="50"/>
        <w:rPr>
          <w:rFonts w:ascii="仿宋" w:hAnsi="仿宋" w:eastAsia="仿宋"/>
          <w:b/>
          <w:sz w:val="28"/>
        </w:rPr>
      </w:pPr>
      <w:r>
        <w:rPr>
          <w:rFonts w:hint="eastAsia" w:ascii="仿宋" w:hAnsi="仿宋" w:eastAsia="仿宋"/>
          <w:b/>
          <w:sz w:val="28"/>
        </w:rPr>
        <w:t>五、河南</w:t>
      </w:r>
      <w:r>
        <w:rPr>
          <w:rFonts w:ascii="仿宋" w:hAnsi="仿宋" w:eastAsia="仿宋"/>
          <w:b/>
          <w:sz w:val="28"/>
        </w:rPr>
        <w:t>辖区</w:t>
      </w:r>
      <w:r>
        <w:rPr>
          <w:rFonts w:hint="eastAsia" w:ascii="仿宋" w:hAnsi="仿宋" w:eastAsia="仿宋"/>
          <w:b/>
          <w:sz w:val="28"/>
        </w:rPr>
        <w:t>上市公司</w:t>
      </w:r>
      <w:r>
        <w:rPr>
          <w:rFonts w:ascii="仿宋" w:hAnsi="仿宋" w:eastAsia="仿宋"/>
          <w:b/>
          <w:sz w:val="28"/>
        </w:rPr>
        <w:t>7月重大事项</w:t>
      </w:r>
    </w:p>
    <w:p>
      <w:pPr>
        <w:spacing w:before="156" w:beforeLines="50" w:after="156" w:afterLines="50"/>
        <w:ind w:firstLine="562" w:firstLineChars="200"/>
        <w:rPr>
          <w:rFonts w:ascii="仿宋" w:hAnsi="仿宋" w:eastAsia="仿宋"/>
          <w:b/>
          <w:sz w:val="28"/>
          <w:szCs w:val="30"/>
        </w:rPr>
      </w:pPr>
      <w:r>
        <w:rPr>
          <w:rFonts w:hint="eastAsia" w:ascii="仿宋" w:hAnsi="仿宋" w:eastAsia="仿宋"/>
          <w:b/>
          <w:sz w:val="28"/>
          <w:szCs w:val="30"/>
        </w:rPr>
        <w:t>1.IPO相关</w:t>
      </w:r>
    </w:p>
    <w:p>
      <w:pPr>
        <w:spacing w:before="156" w:beforeLines="50" w:after="156" w:afterLines="50"/>
        <w:ind w:firstLine="560" w:firstLineChars="200"/>
        <w:rPr>
          <w:rFonts w:ascii="仿宋" w:hAnsi="仿宋" w:eastAsia="仿宋"/>
          <w:sz w:val="28"/>
        </w:rPr>
      </w:pPr>
      <w:r>
        <w:rPr>
          <w:rFonts w:hint="eastAsia" w:ascii="仿宋" w:hAnsi="仿宋" w:eastAsia="仿宋"/>
          <w:sz w:val="28"/>
        </w:rPr>
        <w:t>本月无IPO上市、获发批文及过会事宜。</w:t>
      </w:r>
    </w:p>
    <w:p>
      <w:pPr>
        <w:spacing w:before="156" w:beforeLines="50" w:after="156" w:afterLines="50"/>
        <w:ind w:firstLine="562" w:firstLineChars="200"/>
        <w:rPr>
          <w:rFonts w:ascii="仿宋" w:hAnsi="仿宋" w:eastAsia="仿宋"/>
          <w:b/>
          <w:sz w:val="28"/>
          <w:szCs w:val="30"/>
        </w:rPr>
      </w:pPr>
      <w:r>
        <w:rPr>
          <w:rFonts w:hint="eastAsia" w:ascii="仿宋" w:hAnsi="仿宋" w:eastAsia="仿宋"/>
          <w:b/>
          <w:sz w:val="28"/>
          <w:szCs w:val="30"/>
        </w:rPr>
        <w:t>2.资本运作</w:t>
      </w:r>
    </w:p>
    <w:p>
      <w:pPr>
        <w:spacing w:before="156" w:beforeLines="50" w:after="156" w:afterLines="50"/>
        <w:jc w:val="center"/>
        <w:rPr>
          <w:rFonts w:ascii="仿宋" w:hAnsi="仿宋" w:eastAsia="仿宋"/>
          <w:b/>
          <w:sz w:val="24"/>
        </w:rPr>
      </w:pPr>
      <w:r>
        <w:rPr>
          <w:rFonts w:ascii="仿宋" w:hAnsi="仿宋" w:eastAsia="仿宋"/>
          <w:b/>
          <w:sz w:val="24"/>
        </w:rPr>
        <w:t>表3  对外投资事项</w:t>
      </w:r>
    </w:p>
    <w:tbl>
      <w:tblPr>
        <w:tblStyle w:val="9"/>
        <w:tblW w:w="11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76"/>
        <w:gridCol w:w="1161"/>
        <w:gridCol w:w="1134"/>
        <w:gridCol w:w="7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披露日期</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72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公告事项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2023-07-31</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002560.SZ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通达股份</w:t>
            </w:r>
          </w:p>
        </w:tc>
        <w:tc>
          <w:tcPr>
            <w:tcW w:w="72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近日，公司（含下属全资子公司）使用部分暂时闲置募集资金进行了现金管理。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2023-07-29</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301376.SZ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致欧科技</w:t>
            </w:r>
          </w:p>
        </w:tc>
        <w:tc>
          <w:tcPr>
            <w:tcW w:w="72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致欧家居科技股份有限公司（以下简称“公司”）于2023年7月28日召开第一届董事会第二十五次会议、第一届监事会第十四次会议，审议通过了&lt;&lt;关于使用自有资金支付募投项目部分款项并以募集资金等额置换的议案&gt;&gt;，同意在不影响募投项目正常进行的前提下，公司及实施募投项目的子公司先以自有资金预先支付募投项目相关费用，后续定期统计以自有资金先行垫付募集资金投资项目的款项，从募集资金专户划转至公司或实施募投项目的子公司自有资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2023-07-27</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301089.SZ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拓新药业</w:t>
            </w:r>
          </w:p>
        </w:tc>
        <w:tc>
          <w:tcPr>
            <w:tcW w:w="72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拓新药业集团股份有限公司（以下简称“公司”）于2022年11月9日召开第四届董事会第十八次会议和第四届监事会第十三次会议，审议通过了&lt;&lt;关于使用部分闲置募集资金进行现金管理的议案&gt;&gt;，同意在确保公司募投项目所需资金和保证募集资金安全及公司正常生产经营活动的前提下，公司可以使用金额不超过人民币22,000万元的暂时闲置募集资金购买安全性高、流动性好、有保本约定且投资期限最长不超过12个月的投资产品（包括但不限于保本型理财产品、结构性存款、协定存款、通知存款、定期存款、大额存单等）,自公司董事会审议通过之日起12个月内有效，在上述额度内的资金可在投资有效期内循环滚动使用，暂时闲置募集资金现金管理到期后将及时归还至募集资金专户。具体内容详见公司披露于巨潮资讯网（http://www.cninfo.com.cn）的&lt;&lt;关于使用部分闲置募集资金进行现金管理的公告&gt;&gt;（公告编号：2022-103）及相关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2023-07-27</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301361.SZ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众智科技</w:t>
            </w:r>
          </w:p>
        </w:tc>
        <w:tc>
          <w:tcPr>
            <w:tcW w:w="72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近日，公司在上述使用期限及额度内使用部分闲置募集资金及自有资金认购了理财产品。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2023-07-26</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72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本次使用暂时闲置自有资金进行现金管理。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2023-07-25</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72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公司及子公司使用暂时闲置募集资金不超过人民币4亿元、暂时闲置自有资金不超过人民币9亿元进行现金管理。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2023-07-25</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301361.SZ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众智科技</w:t>
            </w:r>
          </w:p>
        </w:tc>
        <w:tc>
          <w:tcPr>
            <w:tcW w:w="72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近日，公司在上述使用期限及额度内使用部分闲置募集资金及自有资金认购的部分理财产品发生到期赎回事项。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2023-07-21</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301182.SZ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凯旺科技</w:t>
            </w:r>
          </w:p>
        </w:tc>
        <w:tc>
          <w:tcPr>
            <w:tcW w:w="72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河南凯旺电子科技股份有限公司近期购买了理财。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2023-07-20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72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本次使用暂时闲置自有资金进行现金管理。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2023-07-17</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300845.SZ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捷安高科</w:t>
            </w:r>
          </w:p>
        </w:tc>
        <w:tc>
          <w:tcPr>
            <w:tcW w:w="72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继续购买理财产品。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2023-07-17</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301361.SZ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众智科技</w:t>
            </w:r>
          </w:p>
        </w:tc>
        <w:tc>
          <w:tcPr>
            <w:tcW w:w="72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近日，公司在上述使用期限及额度内使用部分闲置募集资金及自有资金认购了理财产品。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2023-07-10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301277.SZ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新天地</w:t>
            </w:r>
          </w:p>
        </w:tc>
        <w:tc>
          <w:tcPr>
            <w:tcW w:w="72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使用最高额不超过人民币7亿元的暂时闲置募集资金购买投资期限为12个月以内的保本型投资产品。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2023-07-10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301361.SZ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众智科技</w:t>
            </w:r>
          </w:p>
        </w:tc>
        <w:tc>
          <w:tcPr>
            <w:tcW w:w="72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认购理财产品。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2023-07-07</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603658.SH</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安图生物</w:t>
            </w:r>
          </w:p>
        </w:tc>
        <w:tc>
          <w:tcPr>
            <w:tcW w:w="72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现金管理种类：大额存单；现金管理金额：22,000万元公开发行可转换公司债券闲置募集资金；187,000万元非公开发行股票闲置募集资金。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2023-07-05</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002179.SZ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中航光电</w:t>
            </w:r>
          </w:p>
        </w:tc>
        <w:tc>
          <w:tcPr>
            <w:tcW w:w="72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近日，公司向中国民生银行股份有限公司洛阳分行申购1笔结构性存款，金额44,000万元，子公司中航光电（广东）有限公司向中国建设银行股份有限公司洛阳分行申购1笔结构性存款，金额15,000万元。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2023-07-05</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003008.SZ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开普检测</w:t>
            </w:r>
          </w:p>
        </w:tc>
        <w:tc>
          <w:tcPr>
            <w:tcW w:w="72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公司（含子公司）近日与中国工商银行股份有限公司许昌五一路支行、中国银行股份有限公司许昌许继大道支行、中国建设银行股份有限公司许昌分行签订协议，使用自有资金购买理财产品。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2023-07-03</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72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濮阳惠成电子材料股份有限公司近期购买了理财。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2023-07-03</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300701.SZ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森霸传感</w:t>
            </w:r>
          </w:p>
        </w:tc>
        <w:tc>
          <w:tcPr>
            <w:tcW w:w="72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森霸传感科技股份有限公司近期购买了理财。</w:t>
            </w:r>
          </w:p>
        </w:tc>
      </w:tr>
    </w:tbl>
    <w:p>
      <w:pPr>
        <w:spacing w:after="156" w:afterLines="50"/>
        <w:ind w:firstLine="482" w:firstLineChars="200"/>
        <w:jc w:val="center"/>
        <w:rPr>
          <w:rFonts w:ascii="仿宋" w:hAnsi="仿宋" w:eastAsia="仿宋" w:cs="仿宋"/>
          <w:b/>
          <w:sz w:val="28"/>
          <w:szCs w:val="28"/>
        </w:rPr>
      </w:pPr>
      <w:r>
        <w:rPr>
          <w:rFonts w:hint="eastAsia" w:ascii="仿宋" w:hAnsi="仿宋" w:eastAsia="仿宋" w:cs="仿宋"/>
          <w:b/>
          <w:sz w:val="24"/>
        </w:rPr>
        <w:t>表4　再融资实施完成事项</w:t>
      </w:r>
    </w:p>
    <w:tbl>
      <w:tblPr>
        <w:tblStyle w:val="9"/>
        <w:tblW w:w="8533" w:type="dxa"/>
        <w:jc w:val="center"/>
        <w:tblLayout w:type="fixed"/>
        <w:tblCellMar>
          <w:top w:w="0" w:type="dxa"/>
          <w:left w:w="108" w:type="dxa"/>
          <w:bottom w:w="0" w:type="dxa"/>
          <w:right w:w="108" w:type="dxa"/>
        </w:tblCellMar>
      </w:tblPr>
      <w:tblGrid>
        <w:gridCol w:w="661"/>
        <w:gridCol w:w="1198"/>
        <w:gridCol w:w="1197"/>
        <w:gridCol w:w="1328"/>
        <w:gridCol w:w="1328"/>
        <w:gridCol w:w="1095"/>
        <w:gridCol w:w="1726"/>
      </w:tblGrid>
      <w:tr>
        <w:tblPrEx>
          <w:tblCellMar>
            <w:top w:w="0" w:type="dxa"/>
            <w:left w:w="108" w:type="dxa"/>
            <w:bottom w:w="0" w:type="dxa"/>
            <w:right w:w="108" w:type="dxa"/>
          </w:tblCellMar>
        </w:tblPrEx>
        <w:trPr>
          <w:trHeight w:val="27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证券代码</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证券名称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发行日期</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上市日期</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事项类型</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Cs w:val="21"/>
              </w:rPr>
            </w:pPr>
            <w:r>
              <w:rPr>
                <w:rFonts w:hint="eastAsia" w:ascii="仿宋" w:hAnsi="仿宋" w:eastAsia="仿宋" w:cs="仿宋"/>
                <w:b/>
                <w:szCs w:val="21"/>
              </w:rPr>
              <w:t>发行规模(亿元)</w:t>
            </w:r>
          </w:p>
        </w:tc>
      </w:tr>
      <w:tr>
        <w:tblPrEx>
          <w:tblCellMar>
            <w:top w:w="0" w:type="dxa"/>
            <w:left w:w="108" w:type="dxa"/>
            <w:bottom w:w="0" w:type="dxa"/>
            <w:right w:w="108" w:type="dxa"/>
          </w:tblCellMar>
        </w:tblPrEx>
        <w:trPr>
          <w:trHeight w:val="270"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18"/>
              </w:rPr>
              <w:t>300829.SZ</w:t>
            </w:r>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金丹科技</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2023-07-13</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2023-08-02</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可转债</w:t>
            </w:r>
          </w:p>
        </w:tc>
        <w:tc>
          <w:tcPr>
            <w:tcW w:w="20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7.00</w:t>
            </w:r>
          </w:p>
        </w:tc>
      </w:tr>
    </w:tbl>
    <w:p>
      <w:pPr>
        <w:spacing w:before="156" w:beforeLines="50" w:after="156" w:afterLines="50"/>
        <w:jc w:val="center"/>
        <w:rPr>
          <w:rFonts w:ascii="仿宋" w:hAnsi="仿宋" w:eastAsia="仿宋"/>
          <w:b/>
          <w:sz w:val="24"/>
        </w:rPr>
      </w:pPr>
      <w:r>
        <w:rPr>
          <w:rFonts w:hint="eastAsia" w:ascii="仿宋" w:hAnsi="仿宋" w:eastAsia="仿宋"/>
          <w:b/>
          <w:sz w:val="24"/>
        </w:rPr>
        <w:t>表5　再融资预案披露事项</w:t>
      </w:r>
    </w:p>
    <w:tbl>
      <w:tblPr>
        <w:tblStyle w:val="9"/>
        <w:tblW w:w="10893" w:type="dxa"/>
        <w:jc w:val="center"/>
        <w:tblLayout w:type="fixed"/>
        <w:tblCellMar>
          <w:top w:w="0" w:type="dxa"/>
          <w:left w:w="108" w:type="dxa"/>
          <w:bottom w:w="0" w:type="dxa"/>
          <w:right w:w="108" w:type="dxa"/>
        </w:tblCellMar>
      </w:tblPr>
      <w:tblGrid>
        <w:gridCol w:w="773"/>
        <w:gridCol w:w="1363"/>
        <w:gridCol w:w="1363"/>
        <w:gridCol w:w="1177"/>
        <w:gridCol w:w="1081"/>
        <w:gridCol w:w="1081"/>
        <w:gridCol w:w="1081"/>
        <w:gridCol w:w="1369"/>
        <w:gridCol w:w="1605"/>
      </w:tblGrid>
      <w:tr>
        <w:tblPrEx>
          <w:tblCellMar>
            <w:top w:w="0" w:type="dxa"/>
            <w:left w:w="108" w:type="dxa"/>
            <w:bottom w:w="0" w:type="dxa"/>
            <w:right w:w="108" w:type="dxa"/>
          </w:tblCellMar>
        </w:tblPrEx>
        <w:trPr>
          <w:trHeight w:val="270"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136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预案公告日</w:t>
            </w:r>
          </w:p>
        </w:tc>
        <w:tc>
          <w:tcPr>
            <w:tcW w:w="136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最新披露日</w:t>
            </w:r>
          </w:p>
        </w:tc>
        <w:tc>
          <w:tcPr>
            <w:tcW w:w="11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0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事项类型</w:t>
            </w:r>
          </w:p>
        </w:tc>
        <w:tc>
          <w:tcPr>
            <w:tcW w:w="10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定向增发目的</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方案进度</w:t>
            </w:r>
          </w:p>
        </w:tc>
        <w:tc>
          <w:tcPr>
            <w:tcW w:w="16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预计募集资金</w:t>
            </w:r>
          </w:p>
          <w:p>
            <w:pPr>
              <w:jc w:val="center"/>
              <w:rPr>
                <w:rFonts w:ascii="仿宋" w:hAnsi="仿宋" w:eastAsia="仿宋"/>
                <w:b/>
                <w:szCs w:val="21"/>
              </w:rPr>
            </w:pPr>
            <w:r>
              <w:rPr>
                <w:rFonts w:hint="eastAsia" w:ascii="仿宋" w:hAnsi="仿宋" w:eastAsia="仿宋"/>
                <w:b/>
                <w:szCs w:val="21"/>
              </w:rPr>
              <w:t>(亿元)</w:t>
            </w:r>
          </w:p>
        </w:tc>
      </w:tr>
      <w:tr>
        <w:tblPrEx>
          <w:tblCellMar>
            <w:top w:w="0" w:type="dxa"/>
            <w:left w:w="108" w:type="dxa"/>
            <w:bottom w:w="0" w:type="dxa"/>
            <w:right w:w="108" w:type="dxa"/>
          </w:tblCellMar>
        </w:tblPrEx>
        <w:trPr>
          <w:trHeight w:val="270" w:hRule="atLeast"/>
          <w:jc w:val="center"/>
        </w:trPr>
        <w:tc>
          <w:tcPr>
            <w:tcW w:w="773"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1</w:t>
            </w:r>
          </w:p>
        </w:tc>
        <w:tc>
          <w:tcPr>
            <w:tcW w:w="13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2023-07-18</w:t>
            </w:r>
          </w:p>
        </w:tc>
        <w:tc>
          <w:tcPr>
            <w:tcW w:w="13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2023-07-18</w:t>
            </w:r>
          </w:p>
        </w:tc>
        <w:tc>
          <w:tcPr>
            <w:tcW w:w="117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002536.SZ</w:t>
            </w:r>
          </w:p>
        </w:tc>
        <w:tc>
          <w:tcPr>
            <w:tcW w:w="108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飞龙股份</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增发</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项目融资</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证监会通过</w:t>
            </w:r>
          </w:p>
        </w:tc>
        <w:tc>
          <w:tcPr>
            <w:tcW w:w="16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7.80</w:t>
            </w:r>
          </w:p>
        </w:tc>
      </w:tr>
    </w:tbl>
    <w:p>
      <w:pPr>
        <w:spacing w:before="156" w:beforeLines="50" w:after="156" w:afterLines="50"/>
        <w:jc w:val="center"/>
        <w:rPr>
          <w:rFonts w:ascii="仿宋" w:hAnsi="仿宋" w:eastAsia="仿宋"/>
          <w:b/>
          <w:sz w:val="24"/>
        </w:rPr>
      </w:pPr>
      <w:r>
        <w:rPr>
          <w:rFonts w:ascii="仿宋" w:hAnsi="仿宋" w:eastAsia="仿宋"/>
          <w:b/>
          <w:sz w:val="24"/>
        </w:rPr>
        <w:t>表6　上市公司重大资产重组事项</w:t>
      </w:r>
    </w:p>
    <w:tbl>
      <w:tblPr>
        <w:tblStyle w:val="9"/>
        <w:tblW w:w="10696" w:type="dxa"/>
        <w:jc w:val="center"/>
        <w:tblLayout w:type="fixed"/>
        <w:tblCellMar>
          <w:top w:w="0" w:type="dxa"/>
          <w:left w:w="108" w:type="dxa"/>
          <w:bottom w:w="0" w:type="dxa"/>
          <w:right w:w="108" w:type="dxa"/>
        </w:tblCellMar>
      </w:tblPr>
      <w:tblGrid>
        <w:gridCol w:w="818"/>
        <w:gridCol w:w="1341"/>
        <w:gridCol w:w="1227"/>
        <w:gridCol w:w="1347"/>
        <w:gridCol w:w="1347"/>
        <w:gridCol w:w="1347"/>
        <w:gridCol w:w="1446"/>
        <w:gridCol w:w="1823"/>
      </w:tblGrid>
      <w:tr>
        <w:tblPrEx>
          <w:tblCellMar>
            <w:top w:w="0" w:type="dxa"/>
            <w:left w:w="108" w:type="dxa"/>
            <w:bottom w:w="0" w:type="dxa"/>
            <w:right w:w="108" w:type="dxa"/>
          </w:tblCellMar>
        </w:tblPrEx>
        <w:trPr>
          <w:trHeight w:val="270" w:hRule="atLeast"/>
          <w:jc w:val="center"/>
        </w:trPr>
        <w:tc>
          <w:tcPr>
            <w:tcW w:w="81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rPr>
            </w:pPr>
            <w:r>
              <w:rPr>
                <w:rFonts w:hint="eastAsia" w:ascii="仿宋" w:hAnsi="仿宋" w:eastAsia="仿宋"/>
                <w:b/>
              </w:rPr>
              <w:t>序号</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证券代码</w:t>
            </w:r>
          </w:p>
        </w:tc>
        <w:tc>
          <w:tcPr>
            <w:tcW w:w="122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证券名称</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最新披露</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首次披露</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参与方角色</w:t>
            </w:r>
          </w:p>
        </w:tc>
        <w:tc>
          <w:tcPr>
            <w:tcW w:w="14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重组进度</w:t>
            </w:r>
          </w:p>
        </w:tc>
        <w:tc>
          <w:tcPr>
            <w:tcW w:w="182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rPr>
            </w:pPr>
            <w:r>
              <w:rPr>
                <w:rFonts w:hint="eastAsia" w:ascii="仿宋" w:hAnsi="仿宋" w:eastAsia="仿宋"/>
                <w:b/>
              </w:rPr>
              <w:t>重组事件</w:t>
            </w:r>
          </w:p>
        </w:tc>
      </w:tr>
      <w:tr>
        <w:tblPrEx>
          <w:tblCellMar>
            <w:top w:w="0" w:type="dxa"/>
            <w:left w:w="108" w:type="dxa"/>
            <w:bottom w:w="0" w:type="dxa"/>
            <w:right w:w="108" w:type="dxa"/>
          </w:tblCellMar>
        </w:tblPrEx>
        <w:trPr>
          <w:trHeight w:val="270"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300701.SZ</w:t>
            </w:r>
          </w:p>
        </w:tc>
        <w:tc>
          <w:tcPr>
            <w:tcW w:w="122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森霸传感</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2023-07-17</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2023-05-23</w:t>
            </w:r>
          </w:p>
        </w:tc>
        <w:tc>
          <w:tcPr>
            <w:tcW w:w="134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竞买方</w:t>
            </w:r>
          </w:p>
        </w:tc>
        <w:tc>
          <w:tcPr>
            <w:tcW w:w="144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证监会受理</w:t>
            </w:r>
          </w:p>
        </w:tc>
        <w:tc>
          <w:tcPr>
            <w:tcW w:w="1823"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森霸传感收购格林通67%股权。</w:t>
            </w:r>
          </w:p>
        </w:tc>
      </w:tr>
    </w:tbl>
    <w:p>
      <w:pPr>
        <w:spacing w:before="156" w:beforeLines="50" w:after="120"/>
        <w:ind w:firstLine="562" w:firstLineChars="200"/>
        <w:rPr>
          <w:rFonts w:ascii="仿宋" w:hAnsi="仿宋" w:eastAsia="仿宋"/>
          <w:b/>
          <w:sz w:val="28"/>
          <w:szCs w:val="30"/>
        </w:rPr>
      </w:pPr>
    </w:p>
    <w:p>
      <w:pPr>
        <w:spacing w:before="156" w:beforeLines="50" w:after="120"/>
        <w:ind w:firstLine="562" w:firstLineChars="200"/>
        <w:rPr>
          <w:rFonts w:ascii="仿宋" w:hAnsi="仿宋" w:eastAsia="仿宋"/>
          <w:b/>
          <w:sz w:val="28"/>
          <w:szCs w:val="30"/>
        </w:rPr>
      </w:pPr>
      <w:r>
        <w:rPr>
          <w:rFonts w:ascii="仿宋" w:hAnsi="仿宋" w:eastAsia="仿宋"/>
          <w:b/>
          <w:sz w:val="28"/>
          <w:szCs w:val="30"/>
        </w:rPr>
        <w:t>3.</w:t>
      </w:r>
      <w:r>
        <w:rPr>
          <w:rFonts w:hint="eastAsia" w:ascii="仿宋" w:hAnsi="仿宋" w:eastAsia="仿宋"/>
          <w:b/>
          <w:sz w:val="28"/>
          <w:szCs w:val="30"/>
        </w:rPr>
        <w:t>业绩与</w:t>
      </w:r>
      <w:r>
        <w:rPr>
          <w:rFonts w:ascii="仿宋" w:hAnsi="仿宋" w:eastAsia="仿宋"/>
          <w:b/>
          <w:sz w:val="28"/>
          <w:szCs w:val="30"/>
        </w:rPr>
        <w:t>分红</w:t>
      </w:r>
    </w:p>
    <w:p>
      <w:pPr>
        <w:spacing w:before="312" w:beforeLines="100" w:after="156" w:afterLines="50"/>
        <w:ind w:firstLine="560" w:firstLineChars="200"/>
        <w:rPr>
          <w:rFonts w:hint="eastAsia" w:ascii="仿宋" w:hAnsi="仿宋" w:eastAsia="仿宋"/>
          <w:sz w:val="28"/>
        </w:rPr>
      </w:pPr>
      <w:r>
        <w:rPr>
          <w:rFonts w:ascii="仿宋" w:hAnsi="仿宋" w:eastAsia="仿宋"/>
          <w:sz w:val="28"/>
        </w:rPr>
        <w:t>本月辖区内披露业绩预告/快报</w:t>
      </w:r>
      <w:r>
        <w:rPr>
          <w:rFonts w:hint="eastAsia" w:ascii="仿宋" w:hAnsi="仿宋" w:eastAsia="仿宋"/>
          <w:sz w:val="28"/>
        </w:rPr>
        <w:t>的上市公司共42</w:t>
      </w:r>
      <w:r>
        <w:rPr>
          <w:rFonts w:ascii="仿宋" w:hAnsi="仿宋" w:eastAsia="仿宋"/>
          <w:sz w:val="28"/>
        </w:rPr>
        <w:t>家，其中，</w:t>
      </w:r>
      <w:r>
        <w:rPr>
          <w:rFonts w:hint="eastAsia" w:ascii="仿宋" w:hAnsi="仿宋" w:eastAsia="仿宋"/>
          <w:sz w:val="28"/>
        </w:rPr>
        <w:t>1家上市公司披露业绩快报：1家业绩预盈;41家上市公司披露业绩预告：6家业绩盈转亏，7家业绩续亏，26家业绩预盈，2家业绩扭亏为盈。考虑到7月份业绩预告/快报披露集中、数量大，具体数据详见附件。</w:t>
      </w:r>
    </w:p>
    <w:p>
      <w:pPr>
        <w:spacing w:before="156" w:beforeLines="50" w:after="156" w:afterLines="50"/>
        <w:jc w:val="center"/>
        <w:rPr>
          <w:rFonts w:ascii="仿宋" w:hAnsi="仿宋" w:eastAsia="仿宋"/>
          <w:b/>
          <w:sz w:val="24"/>
        </w:rPr>
      </w:pPr>
      <w:r>
        <w:rPr>
          <w:rFonts w:ascii="仿宋" w:hAnsi="仿宋" w:eastAsia="仿宋"/>
          <w:b/>
          <w:sz w:val="24"/>
        </w:rPr>
        <w:t>表7　分红送转事项</w:t>
      </w:r>
    </w:p>
    <w:tbl>
      <w:tblPr>
        <w:tblStyle w:val="9"/>
        <w:tblW w:w="8572" w:type="dxa"/>
        <w:jc w:val="center"/>
        <w:tblLayout w:type="fixed"/>
        <w:tblCellMar>
          <w:top w:w="0" w:type="dxa"/>
          <w:left w:w="108" w:type="dxa"/>
          <w:bottom w:w="0" w:type="dxa"/>
          <w:right w:w="108" w:type="dxa"/>
        </w:tblCellMar>
      </w:tblPr>
      <w:tblGrid>
        <w:gridCol w:w="710"/>
        <w:gridCol w:w="1275"/>
        <w:gridCol w:w="1208"/>
        <w:gridCol w:w="1290"/>
        <w:gridCol w:w="4089"/>
      </w:tblGrid>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127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披露日期</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证券代码</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证券名称</w:t>
            </w:r>
          </w:p>
        </w:tc>
        <w:tc>
          <w:tcPr>
            <w:tcW w:w="40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kern w:val="0"/>
                <w:szCs w:val="21"/>
              </w:rPr>
            </w:pPr>
            <w:r>
              <w:rPr>
                <w:rFonts w:ascii="仿宋" w:hAnsi="仿宋" w:eastAsia="仿宋" w:cs="宋体"/>
                <w:b/>
                <w:color w:val="000000"/>
                <w:kern w:val="0"/>
                <w:szCs w:val="21"/>
              </w:rPr>
              <w:t>方案说明</w:t>
            </w:r>
          </w:p>
        </w:tc>
      </w:tr>
      <w:tr>
        <w:tblPrEx>
          <w:tblCellMar>
            <w:top w:w="0" w:type="dxa"/>
            <w:left w:w="108" w:type="dxa"/>
            <w:bottom w:w="0" w:type="dxa"/>
            <w:right w:w="108" w:type="dxa"/>
          </w:tblCellMar>
        </w:tblPrEx>
        <w:trPr>
          <w:trHeight w:val="270" w:hRule="atLeast"/>
          <w:jc w:val="center"/>
        </w:trPr>
        <w:tc>
          <w:tcPr>
            <w:tcW w:w="710" w:type="dxa"/>
            <w:tcBorders>
              <w:top w:val="single" w:color="auto" w:sz="4" w:space="0"/>
              <w:left w:val="single" w:color="auto" w:sz="4" w:space="0"/>
              <w:bottom w:val="single" w:color="auto" w:sz="4" w:space="0"/>
              <w:right w:val="nil"/>
            </w:tcBorders>
            <w:vAlign w:val="center"/>
          </w:tcPr>
          <w:p>
            <w:pPr>
              <w:jc w:val="center"/>
              <w:rPr>
                <w:rFonts w:ascii="仿宋" w:hAnsi="仿宋" w:eastAsia="仿宋"/>
                <w:szCs w:val="21"/>
              </w:rPr>
            </w:pPr>
            <w:r>
              <w:rPr>
                <w:rFonts w:hint="eastAsia" w:ascii="仿宋" w:hAnsi="仿宋" w:eastAsia="仿宋"/>
                <w:szCs w:val="21"/>
              </w:rPr>
              <w:t>1</w:t>
            </w:r>
          </w:p>
        </w:tc>
        <w:tc>
          <w:tcPr>
            <w:tcW w:w="127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szCs w:val="21"/>
              </w:rPr>
            </w:pPr>
            <w:r>
              <w:rPr>
                <w:rFonts w:hint="eastAsia" w:ascii="仿宋" w:hAnsi="仿宋" w:eastAsia="仿宋"/>
                <w:szCs w:val="21"/>
              </w:rPr>
              <w:t>2023-07-29</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600531.SH</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豫光金铅</w:t>
            </w:r>
          </w:p>
        </w:tc>
        <w:tc>
          <w:tcPr>
            <w:tcW w:w="4089"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2023年中报分红预案：不分红</w:t>
            </w:r>
          </w:p>
        </w:tc>
      </w:tr>
    </w:tbl>
    <w:p>
      <w:pPr>
        <w:spacing w:after="120"/>
        <w:ind w:firstLine="562" w:firstLineChars="200"/>
        <w:rPr>
          <w:rFonts w:ascii="仿宋" w:hAnsi="仿宋" w:eastAsia="仿宋"/>
          <w:b/>
          <w:sz w:val="28"/>
          <w:szCs w:val="28"/>
        </w:rPr>
      </w:pPr>
      <w:r>
        <w:rPr>
          <w:rFonts w:ascii="仿宋" w:hAnsi="仿宋" w:eastAsia="仿宋"/>
          <w:b/>
          <w:sz w:val="28"/>
          <w:szCs w:val="28"/>
        </w:rPr>
        <w:t>4.增持与减持</w:t>
      </w:r>
    </w:p>
    <w:p>
      <w:pPr>
        <w:spacing w:before="156" w:beforeLines="50" w:after="156" w:afterLines="50"/>
        <w:ind w:firstLine="482" w:firstLineChars="200"/>
        <w:jc w:val="center"/>
        <w:rPr>
          <w:rFonts w:ascii="仿宋" w:hAnsi="仿宋" w:eastAsia="仿宋"/>
          <w:b/>
          <w:sz w:val="24"/>
          <w:szCs w:val="30"/>
        </w:rPr>
      </w:pPr>
      <w:r>
        <w:rPr>
          <w:rFonts w:ascii="仿宋" w:hAnsi="仿宋" w:eastAsia="仿宋"/>
          <w:b/>
          <w:sz w:val="24"/>
          <w:szCs w:val="30"/>
        </w:rPr>
        <w:t>表8　股东增/减持公司股票事项</w:t>
      </w:r>
    </w:p>
    <w:tbl>
      <w:tblPr>
        <w:tblStyle w:val="9"/>
        <w:tblW w:w="10863" w:type="dxa"/>
        <w:jc w:val="center"/>
        <w:tblLayout w:type="fixed"/>
        <w:tblCellMar>
          <w:top w:w="0" w:type="dxa"/>
          <w:left w:w="108" w:type="dxa"/>
          <w:bottom w:w="0" w:type="dxa"/>
          <w:right w:w="108" w:type="dxa"/>
        </w:tblCellMar>
      </w:tblPr>
      <w:tblGrid>
        <w:gridCol w:w="796"/>
        <w:gridCol w:w="1266"/>
        <w:gridCol w:w="1281"/>
        <w:gridCol w:w="1134"/>
        <w:gridCol w:w="1559"/>
        <w:gridCol w:w="4827"/>
      </w:tblGrid>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发生日期</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事件类型</w:t>
            </w:r>
          </w:p>
        </w:tc>
        <w:tc>
          <w:tcPr>
            <w:tcW w:w="482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事件摘要</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2023-07-26</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872895.BJ</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花溪科技</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4827"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2023-05-08至2023-07-26，李树秀增持2万股公司股份，平均增持价格为5.9696CNY。截止2023-07-28，持有股份数量为2万股，占流通股份总数比例为0.15%。</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2023-07-03</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300080.SZ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易成新能</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4827"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2023-04-04至2023-07-03，中国平煤神马控股集团有限公司增持1211.26万股公司股份。截止2023-07-05，持有股份数量为1.78亿股流通股份，占流通股份总数比例为14.61%。</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2023-07-17</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832225.BJ</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利通科技</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4827"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2023-05-26至2023-07-17，漯河市祥鑫企业管理咨询合伙企业(有限合伙)减持3.65万股公司股份，平均减持价格为8.6591CNY。截止2023-07-18，持有股份数量为584.54万股，占流通股份总数比例为10.14%。</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2023-07-14</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301207.SZ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华兰疫苗</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4827"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2023-04-26至2023-07-14，河南高瓴骅盈企业管理咨询合伙企业(有限合伙)减持470.7万股公司股份。截止2023-07-17，持有股份数量为3472.99万股，占流通股份总数比例为24.63%。</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5</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2023-07-11</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300701.SZ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森霸传感</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4827"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2023-07-11，赣州盈贝投资发展有限公司减持270万股公司股份：其中通过大宗交易系统减持270万股公司股份。截止2023-07-12，持有股份数量为5425.34万股，占流通股份总数比例为22.53%。</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6</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2023-07-07</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600121.SH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郑州煤电</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4827"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2023-07-06至2023-07-07，河南中豫信用增进有限公司减持310.47万股公司股份。截止2023-07-08，持有股份数量为5781.59万股，占流通股份总数比例为4.75%。</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7</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2023-06-29</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600121.SH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郑州煤电</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4827"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2023-06-28至2023-06-29，河南中豫信用增进有限公司减持907.94万股公司股份。截止2023-07-01，持有股份数量为6092.06万股，占流通股份总数比例为5%。</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8</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2023-05-09</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002423.SZ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中粮资本</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4827"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2023-05-08至2023-05-09，弘毅弘量(深圳)股权投资基金合伙企业(有限合伙)减持674.47万股公司股份，平均减持价格为9.7514CNY。截止2023-07-06，持有股份数量为1.47亿股流通股份，占流通股份总数比例为6.36%。</w:t>
            </w:r>
          </w:p>
        </w:tc>
      </w:tr>
    </w:tbl>
    <w:p>
      <w:pPr>
        <w:spacing w:after="156" w:afterLines="50"/>
        <w:ind w:firstLine="562" w:firstLineChars="200"/>
        <w:rPr>
          <w:rFonts w:ascii="仿宋" w:hAnsi="仿宋" w:eastAsia="仿宋"/>
          <w:b/>
          <w:sz w:val="28"/>
          <w:szCs w:val="28"/>
        </w:rPr>
      </w:pPr>
      <w:r>
        <w:rPr>
          <w:rFonts w:ascii="仿宋" w:hAnsi="仿宋" w:eastAsia="仿宋"/>
          <w:b/>
          <w:sz w:val="28"/>
          <w:szCs w:val="28"/>
        </w:rPr>
        <w:t>5.其他重大事项</w:t>
      </w:r>
    </w:p>
    <w:p>
      <w:pPr>
        <w:spacing w:before="156" w:beforeLines="50" w:after="156" w:afterLines="50"/>
        <w:jc w:val="center"/>
        <w:rPr>
          <w:rFonts w:ascii="仿宋" w:hAnsi="仿宋" w:eastAsia="仿宋"/>
          <w:b/>
          <w:sz w:val="24"/>
          <w:szCs w:val="30"/>
        </w:rPr>
      </w:pPr>
      <w:r>
        <w:rPr>
          <w:rFonts w:ascii="仿宋" w:hAnsi="仿宋" w:eastAsia="仿宋"/>
          <w:b/>
          <w:sz w:val="24"/>
          <w:szCs w:val="30"/>
        </w:rPr>
        <w:t>表9　7月董事长、董秘变动情况</w:t>
      </w:r>
    </w:p>
    <w:tbl>
      <w:tblPr>
        <w:tblStyle w:val="10"/>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276"/>
        <w:gridCol w:w="1134"/>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Pr>
          <w:p>
            <w:pPr>
              <w:jc w:val="center"/>
              <w:rPr>
                <w:rFonts w:ascii="仿宋" w:hAnsi="仿宋" w:eastAsia="仿宋"/>
                <w:b/>
                <w:szCs w:val="21"/>
              </w:rPr>
            </w:pPr>
            <w:r>
              <w:rPr>
                <w:rFonts w:hint="eastAsia" w:ascii="仿宋" w:hAnsi="仿宋" w:eastAsia="仿宋"/>
                <w:b/>
                <w:szCs w:val="21"/>
              </w:rPr>
              <w:t>序号</w:t>
            </w:r>
          </w:p>
        </w:tc>
        <w:tc>
          <w:tcPr>
            <w:tcW w:w="1701" w:type="dxa"/>
          </w:tcPr>
          <w:p>
            <w:pPr>
              <w:jc w:val="center"/>
              <w:rPr>
                <w:rFonts w:ascii="仿宋" w:hAnsi="仿宋" w:eastAsia="仿宋"/>
                <w:b/>
                <w:szCs w:val="21"/>
              </w:rPr>
            </w:pPr>
            <w:r>
              <w:rPr>
                <w:rFonts w:hint="eastAsia" w:ascii="仿宋" w:hAnsi="仿宋" w:eastAsia="仿宋"/>
                <w:b/>
                <w:szCs w:val="21"/>
              </w:rPr>
              <w:t>披露日期</w:t>
            </w:r>
          </w:p>
        </w:tc>
        <w:tc>
          <w:tcPr>
            <w:tcW w:w="1276" w:type="dxa"/>
          </w:tcPr>
          <w:p>
            <w:pPr>
              <w:jc w:val="center"/>
              <w:rPr>
                <w:rFonts w:ascii="仿宋" w:hAnsi="仿宋" w:eastAsia="仿宋"/>
                <w:b/>
                <w:szCs w:val="21"/>
              </w:rPr>
            </w:pPr>
            <w:r>
              <w:rPr>
                <w:rFonts w:hint="eastAsia" w:ascii="仿宋" w:hAnsi="仿宋" w:eastAsia="仿宋"/>
                <w:b/>
                <w:szCs w:val="21"/>
              </w:rPr>
              <w:t>证券代码</w:t>
            </w:r>
          </w:p>
        </w:tc>
        <w:tc>
          <w:tcPr>
            <w:tcW w:w="1134" w:type="dxa"/>
          </w:tcPr>
          <w:p>
            <w:pPr>
              <w:jc w:val="center"/>
              <w:rPr>
                <w:rFonts w:ascii="仿宋" w:hAnsi="仿宋" w:eastAsia="仿宋"/>
                <w:b/>
                <w:szCs w:val="21"/>
              </w:rPr>
            </w:pPr>
            <w:r>
              <w:rPr>
                <w:rFonts w:hint="eastAsia" w:ascii="仿宋" w:hAnsi="仿宋" w:eastAsia="仿宋"/>
                <w:b/>
                <w:szCs w:val="21"/>
              </w:rPr>
              <w:t>证券名称</w:t>
            </w:r>
          </w:p>
        </w:tc>
        <w:tc>
          <w:tcPr>
            <w:tcW w:w="3723" w:type="dxa"/>
          </w:tcPr>
          <w:p>
            <w:pPr>
              <w:jc w:val="center"/>
              <w:rPr>
                <w:rFonts w:ascii="仿宋" w:hAnsi="仿宋" w:eastAsia="仿宋"/>
                <w:b/>
                <w:szCs w:val="21"/>
              </w:rPr>
            </w:pPr>
            <w:r>
              <w:rPr>
                <w:rFonts w:hint="eastAsia" w:ascii="仿宋" w:hAnsi="仿宋" w:eastAsia="仿宋"/>
                <w:b/>
                <w:szCs w:val="21"/>
              </w:rPr>
              <w:t>事件摘要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vAlign w:val="center"/>
          </w:tcPr>
          <w:p>
            <w:pPr>
              <w:jc w:val="center"/>
              <w:rPr>
                <w:rFonts w:ascii="仿宋" w:hAnsi="仿宋" w:eastAsia="仿宋"/>
                <w:szCs w:val="21"/>
              </w:rPr>
            </w:pPr>
            <w:r>
              <w:rPr>
                <w:rFonts w:ascii="仿宋" w:hAnsi="仿宋" w:eastAsia="仿宋"/>
                <w:szCs w:val="21"/>
              </w:rPr>
              <w:t>1</w:t>
            </w:r>
          </w:p>
        </w:tc>
        <w:tc>
          <w:tcPr>
            <w:tcW w:w="1701" w:type="dxa"/>
            <w:vAlign w:val="center"/>
          </w:tcPr>
          <w:p>
            <w:pPr>
              <w:jc w:val="center"/>
              <w:rPr>
                <w:rFonts w:ascii="仿宋" w:hAnsi="仿宋" w:eastAsia="仿宋"/>
                <w:szCs w:val="21"/>
              </w:rPr>
            </w:pPr>
            <w:r>
              <w:rPr>
                <w:rFonts w:hint="eastAsia" w:ascii="仿宋" w:hAnsi="仿宋" w:eastAsia="仿宋"/>
                <w:szCs w:val="21"/>
              </w:rPr>
              <w:t>2023-07-14</w:t>
            </w:r>
          </w:p>
        </w:tc>
        <w:tc>
          <w:tcPr>
            <w:tcW w:w="1276" w:type="dxa"/>
            <w:vAlign w:val="center"/>
          </w:tcPr>
          <w:p>
            <w:pPr>
              <w:jc w:val="center"/>
              <w:rPr>
                <w:rFonts w:ascii="仿宋" w:hAnsi="仿宋" w:eastAsia="仿宋"/>
                <w:szCs w:val="21"/>
              </w:rPr>
            </w:pPr>
            <w:r>
              <w:rPr>
                <w:rFonts w:hint="eastAsia" w:ascii="仿宋" w:hAnsi="仿宋" w:eastAsia="仿宋"/>
                <w:szCs w:val="21"/>
              </w:rPr>
              <w:t>002936.SZ</w:t>
            </w:r>
          </w:p>
        </w:tc>
        <w:tc>
          <w:tcPr>
            <w:tcW w:w="1134" w:type="dxa"/>
            <w:vAlign w:val="center"/>
          </w:tcPr>
          <w:p>
            <w:pPr>
              <w:jc w:val="center"/>
              <w:rPr>
                <w:rFonts w:ascii="仿宋" w:hAnsi="仿宋" w:eastAsia="仿宋"/>
                <w:szCs w:val="21"/>
              </w:rPr>
            </w:pPr>
            <w:r>
              <w:rPr>
                <w:rFonts w:hint="eastAsia" w:ascii="仿宋" w:hAnsi="仿宋" w:eastAsia="仿宋"/>
                <w:szCs w:val="21"/>
              </w:rPr>
              <w:t>郑州银行</w:t>
            </w:r>
          </w:p>
        </w:tc>
        <w:tc>
          <w:tcPr>
            <w:tcW w:w="3723" w:type="dxa"/>
            <w:vAlign w:val="center"/>
          </w:tcPr>
          <w:p>
            <w:pPr>
              <w:jc w:val="center"/>
              <w:rPr>
                <w:rFonts w:ascii="仿宋" w:hAnsi="仿宋" w:eastAsia="仿宋"/>
                <w:szCs w:val="21"/>
              </w:rPr>
            </w:pPr>
            <w:r>
              <w:rPr>
                <w:rFonts w:hint="eastAsia" w:ascii="仿宋" w:hAnsi="仿宋" w:eastAsia="仿宋"/>
                <w:szCs w:val="21"/>
              </w:rPr>
              <w:t>新聘董事长赵飞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701" w:type="dxa"/>
            <w:vAlign w:val="center"/>
          </w:tcPr>
          <w:p>
            <w:pPr>
              <w:jc w:val="center"/>
              <w:rPr>
                <w:rFonts w:ascii="仿宋" w:hAnsi="仿宋" w:eastAsia="仿宋"/>
                <w:szCs w:val="21"/>
              </w:rPr>
            </w:pPr>
            <w:r>
              <w:rPr>
                <w:rFonts w:hint="eastAsia" w:ascii="仿宋" w:hAnsi="仿宋" w:eastAsia="仿宋"/>
                <w:szCs w:val="21"/>
              </w:rPr>
              <w:t>2023-07-14</w:t>
            </w:r>
          </w:p>
        </w:tc>
        <w:tc>
          <w:tcPr>
            <w:tcW w:w="1276" w:type="dxa"/>
            <w:vAlign w:val="center"/>
          </w:tcPr>
          <w:p>
            <w:pPr>
              <w:jc w:val="center"/>
              <w:rPr>
                <w:rFonts w:ascii="仿宋" w:hAnsi="仿宋" w:eastAsia="仿宋"/>
                <w:szCs w:val="21"/>
              </w:rPr>
            </w:pPr>
            <w:r>
              <w:rPr>
                <w:rFonts w:hint="eastAsia" w:ascii="仿宋" w:hAnsi="仿宋" w:eastAsia="仿宋"/>
                <w:szCs w:val="21"/>
              </w:rPr>
              <w:t>002936.SZ</w:t>
            </w:r>
          </w:p>
        </w:tc>
        <w:tc>
          <w:tcPr>
            <w:tcW w:w="1134" w:type="dxa"/>
            <w:vAlign w:val="center"/>
          </w:tcPr>
          <w:p>
            <w:pPr>
              <w:jc w:val="center"/>
              <w:rPr>
                <w:rFonts w:ascii="仿宋" w:hAnsi="仿宋" w:eastAsia="仿宋"/>
                <w:szCs w:val="21"/>
              </w:rPr>
            </w:pPr>
            <w:r>
              <w:rPr>
                <w:rFonts w:hint="eastAsia" w:ascii="仿宋" w:hAnsi="仿宋" w:eastAsia="仿宋"/>
                <w:szCs w:val="21"/>
              </w:rPr>
              <w:t>郑州银行</w:t>
            </w:r>
          </w:p>
        </w:tc>
        <w:tc>
          <w:tcPr>
            <w:tcW w:w="3723" w:type="dxa"/>
            <w:vAlign w:val="center"/>
          </w:tcPr>
          <w:p>
            <w:pPr>
              <w:jc w:val="center"/>
              <w:rPr>
                <w:rFonts w:ascii="仿宋" w:hAnsi="仿宋" w:eastAsia="仿宋"/>
                <w:szCs w:val="21"/>
              </w:rPr>
            </w:pPr>
            <w:r>
              <w:rPr>
                <w:rFonts w:hint="eastAsia" w:ascii="仿宋" w:hAnsi="仿宋" w:eastAsia="仿宋"/>
                <w:szCs w:val="21"/>
              </w:rPr>
              <w:t>代理董事长赵飞离任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vAlign w:val="center"/>
          </w:tcPr>
          <w:p>
            <w:pPr>
              <w:jc w:val="center"/>
              <w:rPr>
                <w:rFonts w:ascii="仿宋" w:hAnsi="仿宋" w:eastAsia="仿宋"/>
                <w:szCs w:val="21"/>
              </w:rPr>
            </w:pPr>
            <w:r>
              <w:rPr>
                <w:rFonts w:ascii="仿宋" w:hAnsi="仿宋" w:eastAsia="仿宋"/>
                <w:szCs w:val="21"/>
              </w:rPr>
              <w:t>2</w:t>
            </w:r>
          </w:p>
        </w:tc>
        <w:tc>
          <w:tcPr>
            <w:tcW w:w="1701" w:type="dxa"/>
            <w:vAlign w:val="center"/>
          </w:tcPr>
          <w:p>
            <w:pPr>
              <w:jc w:val="center"/>
              <w:rPr>
                <w:rFonts w:ascii="仿宋" w:hAnsi="仿宋" w:eastAsia="仿宋"/>
                <w:szCs w:val="21"/>
              </w:rPr>
            </w:pPr>
            <w:r>
              <w:rPr>
                <w:rFonts w:hint="eastAsia" w:ascii="仿宋" w:hAnsi="仿宋" w:eastAsia="仿宋"/>
                <w:szCs w:val="21"/>
              </w:rPr>
              <w:t>2023-07-14</w:t>
            </w:r>
          </w:p>
        </w:tc>
        <w:tc>
          <w:tcPr>
            <w:tcW w:w="1276" w:type="dxa"/>
            <w:vAlign w:val="center"/>
          </w:tcPr>
          <w:p>
            <w:pPr>
              <w:jc w:val="center"/>
              <w:rPr>
                <w:rFonts w:ascii="仿宋" w:hAnsi="仿宋" w:eastAsia="仿宋"/>
                <w:szCs w:val="21"/>
              </w:rPr>
            </w:pPr>
            <w:r>
              <w:rPr>
                <w:rFonts w:hint="eastAsia" w:ascii="仿宋" w:hAnsi="仿宋" w:eastAsia="仿宋"/>
                <w:szCs w:val="21"/>
              </w:rPr>
              <w:t>301277.SZ</w:t>
            </w:r>
          </w:p>
        </w:tc>
        <w:tc>
          <w:tcPr>
            <w:tcW w:w="1134" w:type="dxa"/>
            <w:vAlign w:val="center"/>
          </w:tcPr>
          <w:p>
            <w:pPr>
              <w:jc w:val="center"/>
              <w:rPr>
                <w:rFonts w:ascii="仿宋" w:hAnsi="仿宋" w:eastAsia="仿宋"/>
                <w:szCs w:val="21"/>
              </w:rPr>
            </w:pPr>
            <w:r>
              <w:rPr>
                <w:rFonts w:hint="eastAsia" w:ascii="仿宋" w:hAnsi="仿宋" w:eastAsia="仿宋"/>
                <w:szCs w:val="21"/>
              </w:rPr>
              <w:t>新天地</w:t>
            </w:r>
          </w:p>
        </w:tc>
        <w:tc>
          <w:tcPr>
            <w:tcW w:w="3723" w:type="dxa"/>
            <w:vAlign w:val="center"/>
          </w:tcPr>
          <w:p>
            <w:pPr>
              <w:jc w:val="center"/>
              <w:rPr>
                <w:rFonts w:ascii="仿宋" w:hAnsi="仿宋" w:eastAsia="仿宋"/>
                <w:szCs w:val="21"/>
              </w:rPr>
            </w:pPr>
            <w:r>
              <w:rPr>
                <w:rFonts w:hint="eastAsia" w:ascii="仿宋" w:hAnsi="仿宋" w:eastAsia="仿宋"/>
                <w:szCs w:val="21"/>
              </w:rPr>
              <w:t>董事会秘书李金登离任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701" w:type="dxa"/>
            <w:vAlign w:val="center"/>
          </w:tcPr>
          <w:p>
            <w:pPr>
              <w:jc w:val="center"/>
              <w:rPr>
                <w:rFonts w:ascii="仿宋" w:hAnsi="仿宋" w:eastAsia="仿宋"/>
                <w:szCs w:val="21"/>
              </w:rPr>
            </w:pPr>
            <w:r>
              <w:rPr>
                <w:rFonts w:hint="eastAsia" w:ascii="仿宋" w:hAnsi="仿宋" w:eastAsia="仿宋"/>
                <w:szCs w:val="21"/>
              </w:rPr>
              <w:t>2023-07-14</w:t>
            </w:r>
          </w:p>
        </w:tc>
        <w:tc>
          <w:tcPr>
            <w:tcW w:w="1276" w:type="dxa"/>
            <w:vAlign w:val="center"/>
          </w:tcPr>
          <w:p>
            <w:pPr>
              <w:jc w:val="center"/>
              <w:rPr>
                <w:rFonts w:ascii="仿宋" w:hAnsi="仿宋" w:eastAsia="仿宋"/>
                <w:szCs w:val="21"/>
              </w:rPr>
            </w:pPr>
            <w:r>
              <w:rPr>
                <w:rFonts w:hint="eastAsia" w:ascii="仿宋" w:hAnsi="仿宋" w:eastAsia="仿宋"/>
                <w:szCs w:val="21"/>
              </w:rPr>
              <w:t>301277.SZ</w:t>
            </w:r>
          </w:p>
        </w:tc>
        <w:tc>
          <w:tcPr>
            <w:tcW w:w="1134" w:type="dxa"/>
            <w:vAlign w:val="center"/>
          </w:tcPr>
          <w:p>
            <w:pPr>
              <w:jc w:val="center"/>
              <w:rPr>
                <w:rFonts w:ascii="仿宋" w:hAnsi="仿宋" w:eastAsia="仿宋"/>
                <w:szCs w:val="21"/>
              </w:rPr>
            </w:pPr>
            <w:r>
              <w:rPr>
                <w:rFonts w:hint="eastAsia" w:ascii="仿宋" w:hAnsi="仿宋" w:eastAsia="仿宋"/>
                <w:szCs w:val="21"/>
              </w:rPr>
              <w:t>新天地</w:t>
            </w:r>
          </w:p>
        </w:tc>
        <w:tc>
          <w:tcPr>
            <w:tcW w:w="3723" w:type="dxa"/>
            <w:vAlign w:val="center"/>
          </w:tcPr>
          <w:p>
            <w:pPr>
              <w:jc w:val="center"/>
              <w:rPr>
                <w:rFonts w:ascii="仿宋" w:hAnsi="仿宋" w:eastAsia="仿宋"/>
                <w:szCs w:val="21"/>
              </w:rPr>
            </w:pPr>
            <w:r>
              <w:rPr>
                <w:rFonts w:hint="eastAsia" w:ascii="仿宋" w:hAnsi="仿宋" w:eastAsia="仿宋"/>
                <w:szCs w:val="21"/>
              </w:rPr>
              <w:t>新聘代董事会秘书张芦苇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ascii="仿宋" w:hAnsi="仿宋" w:eastAsia="仿宋"/>
                <w:szCs w:val="21"/>
              </w:rPr>
              <w:t>3</w:t>
            </w:r>
          </w:p>
        </w:tc>
        <w:tc>
          <w:tcPr>
            <w:tcW w:w="1701" w:type="dxa"/>
            <w:vAlign w:val="center"/>
          </w:tcPr>
          <w:p>
            <w:pPr>
              <w:jc w:val="center"/>
              <w:rPr>
                <w:rFonts w:ascii="仿宋" w:hAnsi="仿宋" w:eastAsia="仿宋"/>
                <w:szCs w:val="21"/>
              </w:rPr>
            </w:pPr>
            <w:r>
              <w:rPr>
                <w:rFonts w:hint="eastAsia" w:ascii="仿宋" w:hAnsi="仿宋" w:eastAsia="仿宋"/>
                <w:szCs w:val="21"/>
              </w:rPr>
              <w:t>2023-07-14</w:t>
            </w:r>
          </w:p>
        </w:tc>
        <w:tc>
          <w:tcPr>
            <w:tcW w:w="1276" w:type="dxa"/>
            <w:vAlign w:val="center"/>
          </w:tcPr>
          <w:p>
            <w:pPr>
              <w:jc w:val="center"/>
              <w:rPr>
                <w:rFonts w:ascii="仿宋" w:hAnsi="仿宋" w:eastAsia="仿宋"/>
                <w:szCs w:val="21"/>
              </w:rPr>
            </w:pPr>
            <w:r>
              <w:rPr>
                <w:rFonts w:hint="eastAsia" w:ascii="仿宋" w:hAnsi="仿宋" w:eastAsia="仿宋"/>
                <w:szCs w:val="21"/>
              </w:rPr>
              <w:t>831087.BJ</w:t>
            </w:r>
          </w:p>
        </w:tc>
        <w:tc>
          <w:tcPr>
            <w:tcW w:w="1134" w:type="dxa"/>
            <w:vAlign w:val="center"/>
          </w:tcPr>
          <w:p>
            <w:pPr>
              <w:jc w:val="center"/>
              <w:rPr>
                <w:rFonts w:ascii="仿宋" w:hAnsi="仿宋" w:eastAsia="仿宋"/>
                <w:szCs w:val="21"/>
              </w:rPr>
            </w:pPr>
            <w:r>
              <w:rPr>
                <w:rFonts w:hint="eastAsia" w:ascii="仿宋" w:hAnsi="仿宋" w:eastAsia="仿宋"/>
                <w:szCs w:val="21"/>
              </w:rPr>
              <w:t>秋乐种业</w:t>
            </w:r>
          </w:p>
        </w:tc>
        <w:tc>
          <w:tcPr>
            <w:tcW w:w="3723" w:type="dxa"/>
            <w:vAlign w:val="center"/>
          </w:tcPr>
          <w:p>
            <w:pPr>
              <w:jc w:val="center"/>
              <w:rPr>
                <w:rFonts w:ascii="仿宋" w:hAnsi="仿宋" w:eastAsia="仿宋"/>
                <w:szCs w:val="21"/>
              </w:rPr>
            </w:pPr>
            <w:r>
              <w:rPr>
                <w:rFonts w:hint="eastAsia" w:ascii="仿宋" w:hAnsi="仿宋" w:eastAsia="仿宋"/>
                <w:szCs w:val="21"/>
              </w:rPr>
              <w:t>新聘董事长侯传伟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vAlign w:val="center"/>
          </w:tcPr>
          <w:p>
            <w:pPr>
              <w:jc w:val="center"/>
              <w:rPr>
                <w:rFonts w:ascii="仿宋" w:hAnsi="仿宋" w:eastAsia="仿宋"/>
                <w:szCs w:val="21"/>
              </w:rPr>
            </w:pPr>
            <w:r>
              <w:rPr>
                <w:rFonts w:ascii="仿宋" w:hAnsi="仿宋" w:eastAsia="仿宋"/>
                <w:szCs w:val="21"/>
              </w:rPr>
              <w:t>4</w:t>
            </w:r>
          </w:p>
        </w:tc>
        <w:tc>
          <w:tcPr>
            <w:tcW w:w="1701" w:type="dxa"/>
            <w:vAlign w:val="center"/>
          </w:tcPr>
          <w:p>
            <w:pPr>
              <w:jc w:val="center"/>
              <w:rPr>
                <w:rFonts w:ascii="仿宋" w:hAnsi="仿宋" w:eastAsia="仿宋"/>
                <w:szCs w:val="21"/>
              </w:rPr>
            </w:pPr>
            <w:r>
              <w:rPr>
                <w:rFonts w:hint="eastAsia" w:ascii="仿宋" w:hAnsi="仿宋" w:eastAsia="仿宋"/>
                <w:szCs w:val="21"/>
              </w:rPr>
              <w:t>2023-07-13</w:t>
            </w:r>
          </w:p>
        </w:tc>
        <w:tc>
          <w:tcPr>
            <w:tcW w:w="1276" w:type="dxa"/>
            <w:vAlign w:val="center"/>
          </w:tcPr>
          <w:p>
            <w:pPr>
              <w:jc w:val="center"/>
              <w:rPr>
                <w:rFonts w:ascii="仿宋" w:hAnsi="仿宋" w:eastAsia="仿宋"/>
                <w:szCs w:val="21"/>
              </w:rPr>
            </w:pPr>
            <w:r>
              <w:rPr>
                <w:rFonts w:hint="eastAsia" w:ascii="仿宋" w:hAnsi="仿宋" w:eastAsia="仿宋"/>
                <w:szCs w:val="21"/>
              </w:rPr>
              <w:t>601375.SH</w:t>
            </w:r>
          </w:p>
        </w:tc>
        <w:tc>
          <w:tcPr>
            <w:tcW w:w="1134" w:type="dxa"/>
            <w:vAlign w:val="center"/>
          </w:tcPr>
          <w:p>
            <w:pPr>
              <w:jc w:val="center"/>
              <w:rPr>
                <w:rFonts w:ascii="仿宋" w:hAnsi="仿宋" w:eastAsia="仿宋"/>
                <w:szCs w:val="21"/>
              </w:rPr>
            </w:pPr>
            <w:r>
              <w:rPr>
                <w:rFonts w:hint="eastAsia" w:ascii="仿宋" w:hAnsi="仿宋" w:eastAsia="仿宋"/>
                <w:szCs w:val="21"/>
              </w:rPr>
              <w:t>中原证券</w:t>
            </w:r>
          </w:p>
        </w:tc>
        <w:tc>
          <w:tcPr>
            <w:tcW w:w="3723" w:type="dxa"/>
            <w:vAlign w:val="center"/>
          </w:tcPr>
          <w:p>
            <w:pPr>
              <w:jc w:val="center"/>
              <w:rPr>
                <w:rFonts w:ascii="仿宋" w:hAnsi="仿宋" w:eastAsia="仿宋"/>
                <w:szCs w:val="21"/>
              </w:rPr>
            </w:pPr>
            <w:r>
              <w:rPr>
                <w:rFonts w:hint="eastAsia" w:ascii="仿宋" w:hAnsi="仿宋" w:eastAsia="仿宋"/>
                <w:szCs w:val="21"/>
              </w:rPr>
              <w:t>董事长菅明军离任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701" w:type="dxa"/>
            <w:vAlign w:val="center"/>
          </w:tcPr>
          <w:p>
            <w:pPr>
              <w:jc w:val="center"/>
              <w:rPr>
                <w:rFonts w:ascii="仿宋" w:hAnsi="仿宋" w:eastAsia="仿宋"/>
                <w:szCs w:val="21"/>
              </w:rPr>
            </w:pPr>
            <w:r>
              <w:rPr>
                <w:rFonts w:hint="eastAsia" w:ascii="仿宋" w:hAnsi="仿宋" w:eastAsia="仿宋"/>
                <w:szCs w:val="21"/>
              </w:rPr>
              <w:t>2023-07-13</w:t>
            </w:r>
          </w:p>
        </w:tc>
        <w:tc>
          <w:tcPr>
            <w:tcW w:w="1276" w:type="dxa"/>
            <w:vAlign w:val="center"/>
          </w:tcPr>
          <w:p>
            <w:pPr>
              <w:jc w:val="center"/>
              <w:rPr>
                <w:rFonts w:ascii="仿宋" w:hAnsi="仿宋" w:eastAsia="仿宋"/>
                <w:szCs w:val="21"/>
              </w:rPr>
            </w:pPr>
            <w:r>
              <w:rPr>
                <w:rFonts w:hint="eastAsia" w:ascii="仿宋" w:hAnsi="仿宋" w:eastAsia="仿宋"/>
                <w:szCs w:val="21"/>
              </w:rPr>
              <w:t>601375.SH</w:t>
            </w:r>
          </w:p>
        </w:tc>
        <w:tc>
          <w:tcPr>
            <w:tcW w:w="1134" w:type="dxa"/>
            <w:vAlign w:val="center"/>
          </w:tcPr>
          <w:p>
            <w:pPr>
              <w:jc w:val="center"/>
              <w:rPr>
                <w:rFonts w:ascii="仿宋" w:hAnsi="仿宋" w:eastAsia="仿宋"/>
                <w:szCs w:val="21"/>
              </w:rPr>
            </w:pPr>
            <w:r>
              <w:rPr>
                <w:rFonts w:hint="eastAsia" w:ascii="仿宋" w:hAnsi="仿宋" w:eastAsia="仿宋"/>
                <w:szCs w:val="21"/>
              </w:rPr>
              <w:t>中原证券</w:t>
            </w:r>
          </w:p>
        </w:tc>
        <w:tc>
          <w:tcPr>
            <w:tcW w:w="3723" w:type="dxa"/>
            <w:vAlign w:val="center"/>
          </w:tcPr>
          <w:p>
            <w:pPr>
              <w:jc w:val="center"/>
              <w:rPr>
                <w:rFonts w:ascii="仿宋" w:hAnsi="仿宋" w:eastAsia="仿宋"/>
                <w:szCs w:val="21"/>
              </w:rPr>
            </w:pPr>
            <w:r>
              <w:rPr>
                <w:rFonts w:hint="eastAsia" w:ascii="仿宋" w:hAnsi="仿宋" w:eastAsia="仿宋"/>
                <w:szCs w:val="21"/>
              </w:rPr>
              <w:t>新聘董事长鲁智礼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ascii="仿宋" w:hAnsi="仿宋" w:eastAsia="仿宋"/>
                <w:szCs w:val="21"/>
              </w:rPr>
              <w:t>5</w:t>
            </w:r>
          </w:p>
        </w:tc>
        <w:tc>
          <w:tcPr>
            <w:tcW w:w="1701" w:type="dxa"/>
            <w:vAlign w:val="center"/>
          </w:tcPr>
          <w:p>
            <w:pPr>
              <w:jc w:val="center"/>
              <w:rPr>
                <w:rFonts w:ascii="仿宋" w:hAnsi="仿宋" w:eastAsia="仿宋"/>
                <w:szCs w:val="21"/>
              </w:rPr>
            </w:pPr>
            <w:r>
              <w:rPr>
                <w:rFonts w:hint="eastAsia" w:ascii="仿宋" w:hAnsi="仿宋" w:eastAsia="仿宋"/>
                <w:szCs w:val="21"/>
              </w:rPr>
              <w:t>2023-07-12</w:t>
            </w:r>
          </w:p>
        </w:tc>
        <w:tc>
          <w:tcPr>
            <w:tcW w:w="1276" w:type="dxa"/>
            <w:vAlign w:val="center"/>
          </w:tcPr>
          <w:p>
            <w:pPr>
              <w:jc w:val="center"/>
              <w:rPr>
                <w:rFonts w:ascii="仿宋" w:hAnsi="仿宋" w:eastAsia="仿宋"/>
                <w:szCs w:val="21"/>
              </w:rPr>
            </w:pPr>
            <w:r>
              <w:rPr>
                <w:rFonts w:hint="eastAsia" w:ascii="仿宋" w:hAnsi="仿宋" w:eastAsia="仿宋"/>
                <w:szCs w:val="21"/>
              </w:rPr>
              <w:t>831087.BJ</w:t>
            </w:r>
          </w:p>
        </w:tc>
        <w:tc>
          <w:tcPr>
            <w:tcW w:w="1134" w:type="dxa"/>
            <w:vAlign w:val="center"/>
          </w:tcPr>
          <w:p>
            <w:pPr>
              <w:jc w:val="center"/>
              <w:rPr>
                <w:rFonts w:ascii="仿宋" w:hAnsi="仿宋" w:eastAsia="仿宋"/>
                <w:szCs w:val="21"/>
              </w:rPr>
            </w:pPr>
            <w:r>
              <w:rPr>
                <w:rFonts w:hint="eastAsia" w:ascii="仿宋" w:hAnsi="仿宋" w:eastAsia="仿宋"/>
                <w:szCs w:val="21"/>
              </w:rPr>
              <w:t>秋乐种业</w:t>
            </w:r>
          </w:p>
        </w:tc>
        <w:tc>
          <w:tcPr>
            <w:tcW w:w="3723" w:type="dxa"/>
            <w:vAlign w:val="center"/>
          </w:tcPr>
          <w:p>
            <w:pPr>
              <w:jc w:val="center"/>
              <w:rPr>
                <w:rFonts w:ascii="仿宋" w:hAnsi="仿宋" w:eastAsia="仿宋"/>
                <w:szCs w:val="21"/>
              </w:rPr>
            </w:pPr>
            <w:r>
              <w:rPr>
                <w:rFonts w:hint="eastAsia" w:ascii="仿宋" w:hAnsi="仿宋" w:eastAsia="仿宋"/>
                <w:szCs w:val="21"/>
              </w:rPr>
              <w:t>董事长张新友离任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vAlign w:val="center"/>
          </w:tcPr>
          <w:p>
            <w:pPr>
              <w:jc w:val="center"/>
              <w:rPr>
                <w:rFonts w:ascii="仿宋" w:hAnsi="仿宋" w:eastAsia="仿宋"/>
                <w:szCs w:val="21"/>
              </w:rPr>
            </w:pPr>
            <w:r>
              <w:rPr>
                <w:rFonts w:ascii="仿宋" w:hAnsi="仿宋" w:eastAsia="仿宋"/>
                <w:szCs w:val="21"/>
              </w:rPr>
              <w:t>6</w:t>
            </w:r>
          </w:p>
        </w:tc>
        <w:tc>
          <w:tcPr>
            <w:tcW w:w="1701" w:type="dxa"/>
            <w:vAlign w:val="center"/>
          </w:tcPr>
          <w:p>
            <w:pPr>
              <w:jc w:val="center"/>
              <w:rPr>
                <w:rFonts w:ascii="仿宋" w:hAnsi="仿宋" w:eastAsia="仿宋"/>
                <w:szCs w:val="21"/>
              </w:rPr>
            </w:pPr>
            <w:r>
              <w:rPr>
                <w:rFonts w:hint="eastAsia" w:ascii="仿宋" w:hAnsi="仿宋" w:eastAsia="仿宋"/>
                <w:szCs w:val="21"/>
              </w:rPr>
              <w:t>2023-07-11</w:t>
            </w:r>
          </w:p>
        </w:tc>
        <w:tc>
          <w:tcPr>
            <w:tcW w:w="1276" w:type="dxa"/>
            <w:vAlign w:val="center"/>
          </w:tcPr>
          <w:p>
            <w:pPr>
              <w:jc w:val="center"/>
              <w:rPr>
                <w:rFonts w:ascii="仿宋" w:hAnsi="仿宋" w:eastAsia="仿宋"/>
                <w:szCs w:val="21"/>
              </w:rPr>
            </w:pPr>
            <w:r>
              <w:rPr>
                <w:rFonts w:hint="eastAsia" w:ascii="仿宋" w:hAnsi="仿宋" w:eastAsia="仿宋"/>
                <w:szCs w:val="21"/>
              </w:rPr>
              <w:t>002936.SZ</w:t>
            </w:r>
          </w:p>
        </w:tc>
        <w:tc>
          <w:tcPr>
            <w:tcW w:w="1134" w:type="dxa"/>
            <w:vAlign w:val="center"/>
          </w:tcPr>
          <w:p>
            <w:pPr>
              <w:jc w:val="center"/>
              <w:rPr>
                <w:rFonts w:ascii="仿宋" w:hAnsi="仿宋" w:eastAsia="仿宋"/>
                <w:szCs w:val="21"/>
              </w:rPr>
            </w:pPr>
            <w:r>
              <w:rPr>
                <w:rFonts w:hint="eastAsia" w:ascii="仿宋" w:hAnsi="仿宋" w:eastAsia="仿宋"/>
                <w:szCs w:val="21"/>
              </w:rPr>
              <w:t>郑州银行</w:t>
            </w:r>
          </w:p>
        </w:tc>
        <w:tc>
          <w:tcPr>
            <w:tcW w:w="3723" w:type="dxa"/>
            <w:vAlign w:val="center"/>
          </w:tcPr>
          <w:p>
            <w:pPr>
              <w:jc w:val="center"/>
              <w:rPr>
                <w:rFonts w:ascii="仿宋" w:hAnsi="仿宋" w:eastAsia="仿宋"/>
                <w:szCs w:val="21"/>
              </w:rPr>
            </w:pPr>
            <w:r>
              <w:rPr>
                <w:rFonts w:hint="eastAsia" w:ascii="仿宋" w:hAnsi="仿宋" w:eastAsia="仿宋"/>
                <w:szCs w:val="21"/>
              </w:rPr>
              <w:t>董事会秘书夏华离任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701" w:type="dxa"/>
            <w:vAlign w:val="center"/>
          </w:tcPr>
          <w:p>
            <w:pPr>
              <w:jc w:val="center"/>
              <w:rPr>
                <w:rFonts w:ascii="仿宋" w:hAnsi="仿宋" w:eastAsia="仿宋"/>
                <w:szCs w:val="21"/>
              </w:rPr>
            </w:pPr>
            <w:r>
              <w:rPr>
                <w:rFonts w:hint="eastAsia" w:ascii="仿宋" w:hAnsi="仿宋" w:eastAsia="仿宋"/>
                <w:szCs w:val="21"/>
              </w:rPr>
              <w:t>2023-07-11</w:t>
            </w:r>
          </w:p>
        </w:tc>
        <w:tc>
          <w:tcPr>
            <w:tcW w:w="1276" w:type="dxa"/>
            <w:vAlign w:val="center"/>
          </w:tcPr>
          <w:p>
            <w:pPr>
              <w:jc w:val="center"/>
              <w:rPr>
                <w:rFonts w:ascii="仿宋" w:hAnsi="仿宋" w:eastAsia="仿宋"/>
                <w:szCs w:val="21"/>
              </w:rPr>
            </w:pPr>
            <w:r>
              <w:rPr>
                <w:rFonts w:hint="eastAsia" w:ascii="仿宋" w:hAnsi="仿宋" w:eastAsia="仿宋"/>
                <w:szCs w:val="21"/>
              </w:rPr>
              <w:t>002936.SZ</w:t>
            </w:r>
          </w:p>
        </w:tc>
        <w:tc>
          <w:tcPr>
            <w:tcW w:w="1134" w:type="dxa"/>
            <w:vAlign w:val="center"/>
          </w:tcPr>
          <w:p>
            <w:pPr>
              <w:jc w:val="center"/>
              <w:rPr>
                <w:rFonts w:ascii="仿宋" w:hAnsi="仿宋" w:eastAsia="仿宋"/>
                <w:szCs w:val="21"/>
              </w:rPr>
            </w:pPr>
            <w:r>
              <w:rPr>
                <w:rFonts w:hint="eastAsia" w:ascii="仿宋" w:hAnsi="仿宋" w:eastAsia="仿宋"/>
                <w:szCs w:val="21"/>
              </w:rPr>
              <w:t>郑州银行</w:t>
            </w:r>
          </w:p>
        </w:tc>
        <w:tc>
          <w:tcPr>
            <w:tcW w:w="3723" w:type="dxa"/>
            <w:vAlign w:val="center"/>
          </w:tcPr>
          <w:p>
            <w:pPr>
              <w:jc w:val="center"/>
              <w:rPr>
                <w:rFonts w:ascii="仿宋" w:hAnsi="仿宋" w:eastAsia="仿宋"/>
                <w:szCs w:val="21"/>
              </w:rPr>
            </w:pPr>
            <w:r>
              <w:rPr>
                <w:rFonts w:hint="eastAsia" w:ascii="仿宋" w:hAnsi="仿宋" w:eastAsia="仿宋"/>
                <w:szCs w:val="21"/>
              </w:rPr>
              <w:t>新聘代董事会秘书赵飞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vAlign w:val="center"/>
          </w:tcPr>
          <w:p>
            <w:pPr>
              <w:jc w:val="center"/>
              <w:rPr>
                <w:rFonts w:ascii="仿宋" w:hAnsi="仿宋" w:eastAsia="仿宋"/>
                <w:szCs w:val="21"/>
              </w:rPr>
            </w:pPr>
            <w:r>
              <w:rPr>
                <w:rFonts w:ascii="仿宋" w:hAnsi="仿宋" w:eastAsia="仿宋"/>
                <w:szCs w:val="21"/>
              </w:rPr>
              <w:t>7</w:t>
            </w:r>
          </w:p>
        </w:tc>
        <w:tc>
          <w:tcPr>
            <w:tcW w:w="1701" w:type="dxa"/>
            <w:vAlign w:val="center"/>
          </w:tcPr>
          <w:p>
            <w:pPr>
              <w:jc w:val="center"/>
              <w:rPr>
                <w:rFonts w:ascii="仿宋" w:hAnsi="仿宋" w:eastAsia="仿宋"/>
                <w:szCs w:val="21"/>
              </w:rPr>
            </w:pPr>
            <w:r>
              <w:rPr>
                <w:rFonts w:hint="eastAsia" w:ascii="仿宋" w:hAnsi="仿宋" w:eastAsia="仿宋"/>
                <w:szCs w:val="21"/>
              </w:rPr>
              <w:t>2023-07-10</w:t>
            </w:r>
          </w:p>
        </w:tc>
        <w:tc>
          <w:tcPr>
            <w:tcW w:w="1276" w:type="dxa"/>
            <w:vAlign w:val="center"/>
          </w:tcPr>
          <w:p>
            <w:pPr>
              <w:jc w:val="center"/>
              <w:rPr>
                <w:rFonts w:ascii="仿宋" w:hAnsi="仿宋" w:eastAsia="仿宋"/>
                <w:szCs w:val="21"/>
              </w:rPr>
            </w:pPr>
            <w:r>
              <w:rPr>
                <w:rFonts w:hint="eastAsia" w:ascii="仿宋" w:hAnsi="仿宋" w:eastAsia="仿宋"/>
                <w:szCs w:val="21"/>
              </w:rPr>
              <w:t>002601.SZ</w:t>
            </w:r>
          </w:p>
        </w:tc>
        <w:tc>
          <w:tcPr>
            <w:tcW w:w="1134" w:type="dxa"/>
            <w:vAlign w:val="center"/>
          </w:tcPr>
          <w:p>
            <w:pPr>
              <w:jc w:val="center"/>
              <w:rPr>
                <w:rFonts w:ascii="仿宋" w:hAnsi="仿宋" w:eastAsia="仿宋"/>
                <w:szCs w:val="21"/>
              </w:rPr>
            </w:pPr>
            <w:r>
              <w:rPr>
                <w:rFonts w:hint="eastAsia" w:ascii="仿宋" w:hAnsi="仿宋" w:eastAsia="仿宋"/>
                <w:szCs w:val="21"/>
              </w:rPr>
              <w:t>龙佰集团</w:t>
            </w:r>
          </w:p>
        </w:tc>
        <w:tc>
          <w:tcPr>
            <w:tcW w:w="3723" w:type="dxa"/>
            <w:vAlign w:val="center"/>
          </w:tcPr>
          <w:p>
            <w:pPr>
              <w:jc w:val="center"/>
              <w:rPr>
                <w:rFonts w:ascii="仿宋" w:hAnsi="仿宋" w:eastAsia="仿宋"/>
                <w:szCs w:val="21"/>
              </w:rPr>
            </w:pPr>
            <w:r>
              <w:rPr>
                <w:rFonts w:hint="eastAsia" w:ascii="仿宋" w:hAnsi="仿宋" w:eastAsia="仿宋"/>
                <w:szCs w:val="21"/>
              </w:rPr>
              <w:t>新聘董事会秘书王旭东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701" w:type="dxa"/>
            <w:vAlign w:val="center"/>
          </w:tcPr>
          <w:p>
            <w:pPr>
              <w:jc w:val="center"/>
              <w:rPr>
                <w:rFonts w:ascii="仿宋" w:hAnsi="仿宋" w:eastAsia="仿宋"/>
                <w:szCs w:val="21"/>
              </w:rPr>
            </w:pPr>
            <w:r>
              <w:rPr>
                <w:rFonts w:hint="eastAsia" w:ascii="仿宋" w:hAnsi="仿宋" w:eastAsia="仿宋"/>
                <w:szCs w:val="21"/>
              </w:rPr>
              <w:t>2023-07-10</w:t>
            </w:r>
          </w:p>
        </w:tc>
        <w:tc>
          <w:tcPr>
            <w:tcW w:w="1276" w:type="dxa"/>
            <w:vAlign w:val="center"/>
          </w:tcPr>
          <w:p>
            <w:pPr>
              <w:jc w:val="center"/>
              <w:rPr>
                <w:rFonts w:ascii="仿宋" w:hAnsi="仿宋" w:eastAsia="仿宋"/>
                <w:szCs w:val="21"/>
              </w:rPr>
            </w:pPr>
            <w:r>
              <w:rPr>
                <w:rFonts w:hint="eastAsia" w:ascii="仿宋" w:hAnsi="仿宋" w:eastAsia="仿宋"/>
                <w:szCs w:val="21"/>
              </w:rPr>
              <w:t>002601.SZ</w:t>
            </w:r>
          </w:p>
        </w:tc>
        <w:tc>
          <w:tcPr>
            <w:tcW w:w="1134" w:type="dxa"/>
            <w:vAlign w:val="center"/>
          </w:tcPr>
          <w:p>
            <w:pPr>
              <w:jc w:val="center"/>
              <w:rPr>
                <w:rFonts w:ascii="仿宋" w:hAnsi="仿宋" w:eastAsia="仿宋"/>
                <w:szCs w:val="21"/>
              </w:rPr>
            </w:pPr>
            <w:r>
              <w:rPr>
                <w:rFonts w:hint="eastAsia" w:ascii="仿宋" w:hAnsi="仿宋" w:eastAsia="仿宋"/>
                <w:szCs w:val="21"/>
              </w:rPr>
              <w:t>龙佰集团</w:t>
            </w:r>
          </w:p>
        </w:tc>
        <w:tc>
          <w:tcPr>
            <w:tcW w:w="3723" w:type="dxa"/>
            <w:vAlign w:val="center"/>
          </w:tcPr>
          <w:p>
            <w:pPr>
              <w:jc w:val="center"/>
              <w:rPr>
                <w:rFonts w:ascii="仿宋" w:hAnsi="仿宋" w:eastAsia="仿宋"/>
                <w:szCs w:val="21"/>
              </w:rPr>
            </w:pPr>
            <w:r>
              <w:rPr>
                <w:rFonts w:hint="eastAsia" w:ascii="仿宋" w:hAnsi="仿宋" w:eastAsia="仿宋"/>
                <w:szCs w:val="21"/>
              </w:rPr>
              <w:t>代董事会秘书王旭东离任</w:t>
            </w:r>
          </w:p>
        </w:tc>
      </w:tr>
    </w:tbl>
    <w:p>
      <w:pPr>
        <w:spacing w:before="156" w:beforeLines="50" w:after="156" w:afterLines="50"/>
        <w:jc w:val="center"/>
        <w:rPr>
          <w:rFonts w:ascii="仿宋" w:hAnsi="仿宋" w:eastAsia="仿宋"/>
          <w:b/>
          <w:sz w:val="24"/>
          <w:szCs w:val="30"/>
        </w:rPr>
      </w:pPr>
      <w:r>
        <w:rPr>
          <w:rFonts w:hint="eastAsia" w:ascii="仿宋" w:hAnsi="仿宋" w:eastAsia="仿宋"/>
          <w:b/>
          <w:sz w:val="24"/>
          <w:szCs w:val="30"/>
        </w:rPr>
        <w:t>表10　重大项目情况表</w:t>
      </w:r>
    </w:p>
    <w:tbl>
      <w:tblPr>
        <w:tblStyle w:val="9"/>
        <w:tblW w:w="10910" w:type="dxa"/>
        <w:jc w:val="center"/>
        <w:tblLayout w:type="fixed"/>
        <w:tblCellMar>
          <w:top w:w="0" w:type="dxa"/>
          <w:left w:w="108" w:type="dxa"/>
          <w:bottom w:w="0" w:type="dxa"/>
          <w:right w:w="108" w:type="dxa"/>
        </w:tblCellMar>
      </w:tblPr>
      <w:tblGrid>
        <w:gridCol w:w="709"/>
        <w:gridCol w:w="1163"/>
        <w:gridCol w:w="1134"/>
        <w:gridCol w:w="1134"/>
        <w:gridCol w:w="1418"/>
        <w:gridCol w:w="5352"/>
      </w:tblGrid>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事件类型</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披露日期</w:t>
            </w:r>
          </w:p>
        </w:tc>
        <w:tc>
          <w:tcPr>
            <w:tcW w:w="535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事件摘要</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688517.SH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金冠电气</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2023-07-25</w:t>
            </w:r>
          </w:p>
        </w:tc>
        <w:tc>
          <w:tcPr>
            <w:tcW w:w="535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近日,国家电网有限公司电子商务平台发布国家电网有限公司 2023 年第四十八批采购(输变电项目第三次变电设备(含电缆)招标采购))中标候选人公示,金冠电气股份有限公司(以下简称“公司”)及全资子公司南阳金冠智能开关有限公司(以下简称“金冠智能”)中标避雷器及开关柜 2 个标包,合计中标4,593.57 万元。本公司所披露的中标项目仅为中标金额 2,000 万元(含)以上项目。</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601038.SH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一拖股份</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2023-07-13</w:t>
            </w:r>
          </w:p>
        </w:tc>
        <w:tc>
          <w:tcPr>
            <w:tcW w:w="535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第一拖拉机股份有限公司(以下简称“一拖股份”或“公司”)下属全资子公司洛阳长兴农业机械有限公司(以下简称“长兴公司”)通过公开招投标方式,中标洛阳智能农业装备研究院有限公司(以下简称“智能研究院公司”)旱田/水田全程机械化验证平台采购项目全部标段并签订相关合同,合同金额合计为 8,719 万元。</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002535.SZ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林州重机</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2023-07-11</w:t>
            </w:r>
          </w:p>
        </w:tc>
        <w:tc>
          <w:tcPr>
            <w:tcW w:w="535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林州重机集团股份有限公司(以下简称“公司”)于今日收到陕西秦源招标有限责任公司的《中标通知书》,经招标人确认,公司为小保当一号煤矿132202工作面液压支架采购的中标人,中标金额为44729.344万元人民币(含税后中标金额50544.159万元人民币)。</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002431.SZ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棕榈股份</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2023-07-08</w:t>
            </w:r>
          </w:p>
        </w:tc>
        <w:tc>
          <w:tcPr>
            <w:tcW w:w="535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棕榈生态城镇发展股份有限公司(以下简称“公司”)于2023年7月7日在“周口市公共资源交易中心”查询获悉,公司与中交第二航务工程局有限公司、陕西友宏建设工程有限公司、河南工大设计研究院所组成的联合体被确定为“周口中心港粮食仓储物流中转项目第一标段”的中标单位。</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5</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600817.SH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宇通重工</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2023-07-04</w:t>
            </w:r>
          </w:p>
        </w:tc>
        <w:tc>
          <w:tcPr>
            <w:tcW w:w="5352"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宇通重工股份有限公司子公司傲蓝得环境科技有限公司于 2023 年 7 月 3 日收到中标通知书,傲蓝得以联合体形式中标郑州经济技术开发区环卫、绿化一体化服务项目。</w:t>
            </w:r>
          </w:p>
        </w:tc>
      </w:tr>
    </w:tbl>
    <w:p>
      <w:pPr>
        <w:spacing w:before="156" w:beforeLines="50" w:after="156" w:afterLines="50"/>
        <w:rPr>
          <w:rFonts w:ascii="楷体" w:hAnsi="楷体" w:eastAsia="楷体" w:cs="Calibri"/>
          <w:b/>
          <w:sz w:val="28"/>
        </w:rPr>
      </w:pPr>
      <w:r>
        <w:rPr>
          <w:rFonts w:hint="eastAsia" w:ascii="仿宋" w:hAnsi="仿宋" w:eastAsia="仿宋"/>
          <w:b/>
          <w:sz w:val="28"/>
        </w:rPr>
        <w:t>六、上市公司七月违规案例精选</w:t>
      </w:r>
    </w:p>
    <w:p>
      <w:pPr>
        <w:spacing w:line="360" w:lineRule="auto"/>
        <w:ind w:firstLine="562" w:firstLineChars="200"/>
        <w:rPr>
          <w:rFonts w:ascii="仿宋" w:hAnsi="仿宋" w:eastAsia="仿宋" w:cs="仿宋"/>
          <w:b/>
          <w:color w:val="000000"/>
          <w:sz w:val="28"/>
          <w:szCs w:val="28"/>
        </w:rPr>
      </w:pPr>
      <w:r>
        <w:rPr>
          <w:rFonts w:ascii="仿宋" w:hAnsi="仿宋" w:eastAsia="仿宋" w:cs="仿宋"/>
          <w:b/>
          <w:color w:val="000000"/>
          <w:sz w:val="28"/>
          <w:szCs w:val="28"/>
        </w:rPr>
        <w:t xml:space="preserve">1. </w:t>
      </w:r>
      <w:r>
        <w:rPr>
          <w:rFonts w:hint="eastAsia" w:ascii="仿宋" w:hAnsi="仿宋" w:eastAsia="仿宋" w:cs="仿宋"/>
          <w:b/>
          <w:color w:val="000000"/>
          <w:sz w:val="28"/>
          <w:szCs w:val="28"/>
        </w:rPr>
        <w:t>差额补足义务也构成对外担保</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【案例简介】</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深主板某上市公司于2020年10月20日对某合伙企业向某咨询有限公司提供29,462万元借款事项作出差额补足担保承诺。该笔担保未经上市公司董事会或股东大会审议，也未履行临时信息披露义务，公司迟至2023年4月29日才在2022年年度报告中披露。</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市公司于2021年7月21日对某信托股份有限公司向某公司提供的25,000万元股权投资款及收益作出差额补足担保承诺。该笔担保均未经上市公司董事会或股东大会审议，也未履行临时信息披露义务，公司迟至2023年4月29日才在2022年年度报告中披露。</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【纪律处分及监管措施】</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福建监管局认为上市公司及林某的上述行为违反了《上市公司信息披露管理办法》（证监会令第182号）第三条第一款、第二十二条第二款的规定，对上市公司及董事长林某采取出具警示函措施的决定。</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【规则摘要】</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《上市公司信息披露管理办法》</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第二十二条 发生可能对上市公司证券及其衍生品种交易价格产生较大影响的重大事件，投资者尚未得知时，上市公司应当立即披露，说明事件的起因、目前的状态和可能产生的影响。</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前款所称重大事件包括：</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（一）《证券法》第八十条第二款规定的重大事件；</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《最高人民法院关于适用《中华人民共和国民法典》有关担保制度的解释》</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第三十六条 第三人向债权人提供差额补足、流动性支持等类似承诺文件作为增信措施，具有提供担保的意思表示，债权人请求第三人承担保证责任的，人民法院应当依照保证的有关规定处理。</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【信公提示】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上市公司向债权人明确表达了差额补足义务，即意味着会承担还款的风险及义务，实质上也构成担保，需要按照担保来履行审议程序及信息披露义务。</w:t>
      </w:r>
    </w:p>
    <w:p>
      <w:pPr>
        <w:spacing w:line="360" w:lineRule="auto"/>
        <w:ind w:firstLine="560" w:firstLineChars="200"/>
        <w:rPr>
          <w:rFonts w:ascii="仿宋" w:hAnsi="仿宋" w:eastAsia="仿宋" w:cs="仿宋"/>
          <w:color w:val="000000"/>
          <w:sz w:val="28"/>
          <w:szCs w:val="28"/>
        </w:rPr>
      </w:pP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2</w:t>
      </w:r>
      <w:r>
        <w:rPr>
          <w:rFonts w:ascii="仿宋" w:hAnsi="仿宋" w:eastAsia="仿宋" w:cs="仿宋"/>
          <w:b/>
          <w:color w:val="000000"/>
          <w:sz w:val="28"/>
          <w:szCs w:val="28"/>
        </w:rPr>
        <w:t xml:space="preserve">. </w:t>
      </w:r>
      <w:r>
        <w:rPr>
          <w:rFonts w:hint="eastAsia" w:ascii="仿宋" w:hAnsi="仿宋" w:eastAsia="仿宋" w:cs="仿宋"/>
          <w:b/>
          <w:color w:val="000000"/>
          <w:sz w:val="28"/>
          <w:szCs w:val="28"/>
        </w:rPr>
        <w:t>未来展望不能这么写！</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【案例简介】</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2023年4月26日，创业板某公司在2022年年度报告“公司未来发展的展望”部分披露，“公司计划将与字节跳动联合发起‘字节跳动教育产业联盟’……为字节跳动教育生态创业者服务和赋能。”5月24日，公司在2022年年报问询函回复中再次披露上述事项。有媒体报道称5月31日午间字节跳动发布声明，称“近期，某上市公司在回复深交所年报问询函时称计划与字节跳动联合发起‘字节跳动教育产业联盟’。经确认，该信息不实，字节跳动与抖音及旗下各业务都没有与第三方公司成立所谓‘字节跳动教育联盟’的计划。”2023年6月5日，公司披露《关于对深圳证券交易所关注函的回函》，称“所述内容为2023年工作计划，未对所述事项做充分的风险提示，未说明是公司单方面的合作意向，系公司相关工作人员理解不充分，存在用词不准确、工作不严谨的情况”。前述公司计划将与字节跳动联合发起“字节跳动教育产业联盟”等相关信息披露不准确。</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【纪律处分及监管措施】</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深圳证券交易所认为，上市公司的上述行为违反了《深圳证券交易所创业板股票上市规则（2023年修订）》第1.4条，第5.1.1条的规定，对上市公司出具监管函。</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【规则摘要】</w:t>
      </w:r>
    </w:p>
    <w:p>
      <w:pPr>
        <w:spacing w:line="360" w:lineRule="auto"/>
        <w:ind w:firstLine="562" w:firstLineChars="200"/>
        <w:rPr>
          <w:rFonts w:ascii="仿宋" w:hAnsi="仿宋" w:eastAsia="仿宋" w:cs="仿宋"/>
          <w:b/>
          <w:color w:val="000000"/>
          <w:sz w:val="28"/>
          <w:szCs w:val="28"/>
          <w:u w:val="single"/>
        </w:rPr>
      </w:pPr>
      <w:r>
        <w:rPr>
          <w:rFonts w:hint="eastAsia" w:ascii="仿宋" w:hAnsi="仿宋" w:eastAsia="仿宋" w:cs="仿宋"/>
          <w:b/>
          <w:color w:val="000000"/>
          <w:sz w:val="28"/>
          <w:szCs w:val="28"/>
          <w:u w:val="single"/>
        </w:rPr>
        <w:t>《深圳证券交易所创业板股票上市规则（2023年修订）》</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5.1.1上市公司及相关信息披露义务人应当根据法律、行政法规、部门规章、规范性文件、本规则及本所其他相关规定，及时、公平地披露所有可能对公司股票及其衍生品种交易价格或者投资决策产生较大影响的信息或事项(以下简称重大信息、重大事件或者重大事项)，并保证所披露的信息真实、准确、完整，简明清晰，通俗易懂，不得有虚假记载、误导性陈述或者重大遗漏。</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【信公提示】</w:t>
      </w:r>
    </w:p>
    <w:p>
      <w:pPr>
        <w:spacing w:before="156" w:beforeLines="50" w:after="156" w:afterLines="50"/>
        <w:rPr>
          <w:rFonts w:ascii="楷体" w:hAnsi="楷体" w:eastAsia="楷体" w:cs="Calibri"/>
          <w:b/>
          <w:sz w:val="28"/>
        </w:rPr>
      </w:pPr>
      <w:r>
        <w:rPr>
          <w:rFonts w:hint="eastAsia" w:ascii="仿宋" w:hAnsi="仿宋" w:eastAsia="仿宋" w:cs="仿宋"/>
          <w:color w:val="000000"/>
          <w:sz w:val="28"/>
          <w:szCs w:val="28"/>
        </w:rPr>
        <w:t>上述案例中，上市公司未与合作方达成正式合作，仅是单方面的意向，还未正式启动实施，但是在年报中披露的信息有夸大成分，风险提示不充分，披露内容不准确，给投资者造成了严重误导。因此，在年度报告中的未来展望部分，上市公司同样应注意信息披露的真实、准确。</w:t>
      </w:r>
    </w:p>
    <w:p>
      <w:pPr>
        <w:spacing w:before="156" w:beforeLines="50" w:after="156" w:afterLines="50"/>
        <w:rPr>
          <w:rFonts w:ascii="楷体" w:hAnsi="楷体" w:eastAsia="楷体" w:cs="Calibri"/>
          <w:b/>
          <w:sz w:val="28"/>
        </w:rPr>
      </w:pPr>
    </w:p>
    <w:p>
      <w:pPr>
        <w:spacing w:before="156" w:beforeLines="50" w:after="156" w:afterLines="50"/>
        <w:rPr>
          <w:rFonts w:ascii="楷体" w:hAnsi="楷体" w:eastAsia="楷体" w:cs="Calibri"/>
          <w:b/>
          <w:sz w:val="28"/>
        </w:rPr>
      </w:pPr>
    </w:p>
    <w:p>
      <w:pPr>
        <w:spacing w:before="156" w:beforeLines="50" w:after="156" w:afterLines="50"/>
        <w:rPr>
          <w:rFonts w:ascii="楷体" w:hAnsi="楷体" w:eastAsia="楷体" w:cs="Calibri"/>
          <w:b/>
          <w:sz w:val="28"/>
        </w:rPr>
      </w:pPr>
    </w:p>
    <w:p>
      <w:pPr>
        <w:spacing w:before="156" w:beforeLines="50" w:after="156" w:afterLines="50"/>
        <w:rPr>
          <w:rFonts w:ascii="楷体" w:hAnsi="楷体" w:eastAsia="楷体" w:cs="Calibri"/>
          <w:b/>
          <w:sz w:val="28"/>
        </w:rPr>
      </w:pPr>
    </w:p>
    <w:p>
      <w:pPr>
        <w:spacing w:before="156" w:beforeLines="50" w:after="156" w:afterLines="50"/>
        <w:rPr>
          <w:rFonts w:ascii="楷体" w:hAnsi="楷体" w:eastAsia="楷体" w:cs="Calibri"/>
          <w:b/>
          <w:sz w:val="28"/>
        </w:rPr>
      </w:pPr>
    </w:p>
    <w:p>
      <w:pPr>
        <w:spacing w:before="156" w:beforeLines="50" w:after="156" w:afterLines="50"/>
        <w:rPr>
          <w:rFonts w:ascii="楷体" w:hAnsi="楷体" w:eastAsia="楷体" w:cs="Calibri"/>
          <w:b/>
          <w:sz w:val="28"/>
        </w:rPr>
      </w:pPr>
    </w:p>
    <w:p>
      <w:pPr>
        <w:spacing w:before="156" w:beforeLines="50" w:after="156" w:afterLines="50"/>
        <w:rPr>
          <w:rFonts w:ascii="楷体" w:hAnsi="楷体" w:eastAsia="楷体" w:cs="Calibri"/>
          <w:b/>
          <w:sz w:val="28"/>
        </w:rPr>
      </w:pPr>
    </w:p>
    <w:p>
      <w:pPr>
        <w:spacing w:before="156" w:beforeLines="50" w:after="156" w:afterLines="50"/>
        <w:rPr>
          <w:rFonts w:ascii="楷体" w:hAnsi="楷体" w:eastAsia="楷体" w:cs="Calibri"/>
          <w:b/>
          <w:sz w:val="28"/>
        </w:rPr>
      </w:pPr>
    </w:p>
    <w:p>
      <w:pPr>
        <w:spacing w:before="156" w:beforeLines="50" w:after="156" w:afterLines="50"/>
        <w:rPr>
          <w:rFonts w:ascii="楷体" w:hAnsi="楷体" w:eastAsia="楷体" w:cs="Calibri"/>
          <w:b/>
          <w:sz w:val="28"/>
        </w:rPr>
      </w:pPr>
    </w:p>
    <w:p>
      <w:pPr>
        <w:spacing w:before="156" w:beforeLines="50" w:after="156" w:afterLines="50"/>
        <w:rPr>
          <w:rFonts w:ascii="楷体" w:hAnsi="楷体" w:eastAsia="楷体" w:cs="Calibri"/>
          <w:b/>
          <w:sz w:val="28"/>
        </w:rPr>
      </w:pPr>
    </w:p>
    <w:p>
      <w:pPr>
        <w:spacing w:before="156" w:beforeLines="50" w:after="156" w:afterLines="50"/>
        <w:rPr>
          <w:rFonts w:ascii="楷体" w:hAnsi="楷体" w:eastAsia="楷体" w:cs="Calibri"/>
          <w:b/>
          <w:sz w:val="28"/>
        </w:rPr>
      </w:pPr>
    </w:p>
    <w:p>
      <w:pPr>
        <w:spacing w:before="156" w:beforeLines="50" w:after="156" w:afterLines="50"/>
        <w:rPr>
          <w:rFonts w:ascii="楷体" w:hAnsi="楷体" w:eastAsia="楷体" w:cs="Calibri"/>
          <w:b/>
          <w:sz w:val="28"/>
        </w:rPr>
      </w:pPr>
    </w:p>
    <w:p>
      <w:pPr>
        <w:spacing w:before="156" w:beforeLines="50" w:after="156" w:afterLines="50"/>
        <w:rPr>
          <w:rFonts w:ascii="楷体" w:hAnsi="楷体" w:eastAsia="楷体" w:cs="Calibri"/>
          <w:b/>
          <w:sz w:val="28"/>
        </w:rPr>
      </w:pPr>
    </w:p>
    <w:p>
      <w:pPr>
        <w:spacing w:before="156" w:beforeLines="50" w:after="156" w:afterLines="50"/>
        <w:rPr>
          <w:rFonts w:ascii="楷体" w:hAnsi="楷体" w:eastAsia="楷体" w:cs="Calibri"/>
          <w:b/>
          <w:sz w:val="28"/>
        </w:rPr>
      </w:pPr>
      <w:r>
        <w:rPr>
          <w:rFonts w:ascii="楷体" w:hAnsi="楷体" w:eastAsia="楷体" w:cs="Calibri"/>
          <w:b/>
          <w:sz w:val="28"/>
        </w:rPr>
        <w:t>附件：业绩预告/快报事项</w:t>
      </w:r>
    </w:p>
    <w:tbl>
      <w:tblPr>
        <w:tblStyle w:val="10"/>
        <w:tblW w:w="11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1134"/>
        <w:gridCol w:w="1276"/>
        <w:gridCol w:w="5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jc w:val="center"/>
              <w:rPr>
                <w:rFonts w:ascii="仿宋" w:hAnsi="仿宋" w:eastAsia="仿宋"/>
                <w:kern w:val="0"/>
                <w:szCs w:val="21"/>
              </w:rPr>
            </w:pPr>
            <w:r>
              <w:rPr>
                <w:rFonts w:hint="eastAsia" w:ascii="仿宋" w:hAnsi="仿宋" w:eastAsia="仿宋" w:cs="宋体"/>
                <w:b/>
                <w:color w:val="000000"/>
                <w:kern w:val="0"/>
                <w:szCs w:val="21"/>
              </w:rPr>
              <w:t>序号</w:t>
            </w:r>
          </w:p>
        </w:tc>
        <w:tc>
          <w:tcPr>
            <w:tcW w:w="1276"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披露日期</w:t>
            </w:r>
          </w:p>
        </w:tc>
        <w:tc>
          <w:tcPr>
            <w:tcW w:w="1276"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证券代码</w:t>
            </w:r>
          </w:p>
        </w:tc>
        <w:tc>
          <w:tcPr>
            <w:tcW w:w="1134"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证券名称</w:t>
            </w:r>
          </w:p>
        </w:tc>
        <w:tc>
          <w:tcPr>
            <w:tcW w:w="1276"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事件类型</w:t>
            </w:r>
          </w:p>
        </w:tc>
        <w:tc>
          <w:tcPr>
            <w:tcW w:w="5651" w:type="dxa"/>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事件摘要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2023-07-29</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688313.SH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仕佳光子</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第1次2023年中报业绩预告，公司业绩：首亏。 预测业绩：净利润约-1,772.00万元~-1,772.00万元。较去年同期净利润3,289.15万元，变化约为-153.87%~-153.87%。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2023-07-20</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000719.SZ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中原传媒</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业绩快报</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公司已于2023-07-20披露2023年中报业绩快报： 营业总收入43.23亿元，同比去年2.13%，净利润为4.72亿元，同比去年3.06%， 基本EPS为0.46元，加权平均ROE为4.77%。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2023-07-19</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002087.SZ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*ST新纺</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第1次2023年中报业绩预告，公司业绩：续亏。 预测业绩：净利润约-2,900.00万元~-1,800.00万元。较去年同期净利润-2,921.51万元，变化约为0.74%~38.39%。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002857.SZ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三晖电气</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第1次2023年中报业绩预告，公司业绩：续亏。 预测业绩：净利润约-450.00万元~-230.00万元。较去年同期净利润-188.55万元，变化约为-138.66%~-21.98%。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002132.SZ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恒星科技</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第1次2023年中报业绩预告，公司业绩：预减。 预测业绩：净利润约3,000.00万元~4,000.00万元。较去年同期净利润10,876.31万元，变化约为-72.42%~-63.22%。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600020.SH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中原高速</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第1次2023年中报业绩预告，公司业绩：预增。 预测业绩：净利润约59,824.80万元~65,494.15万元。较去年同期净利润33,349.08万元，变化约为79.39%~96.39%。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7</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600066.SH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宇通客车</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第1次2023年中报业绩预告，公司业绩：扭亏。 预测业绩：净利润约38,000.00万元~56,000.00万元。较去年同期净利润-6,526.41万元，变化约为682.25%~958.05%。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8</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601375.SH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中原证券</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第1次2023年中报业绩预告，公司业绩：扭亏。 预测业绩：净利润约16,700.00万元~16,700.00万元。较去年同期净利润-12,544.29万元，变化约为233.13%~233.13%。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9</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002321.SZ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华英农业</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第1次2023年中报业绩预告，公司业绩：预减。 预测业绩：净利润约1,100.00万元~1,600.00万元。较去年同期净利润13,072.34万元，变化约为-91.59%~-87.76%。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10</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600121.SH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郑州煤电</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第1次2023年中报业绩预告，公司业绩：预减。 预测业绩：净利润约4,500.00万元~4,500.00万元。较去年同期净利润14,560.00万元，变化约为-69.00%~-69.00%。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11</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002358.SZ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森源电气</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第1次2023年中报业绩预告，公司业绩：预增。 预测业绩：净利润约2,600.00万元~3,000.00万元。较去年同期净利润1,675.66万元，变化约为55.16%~79.03%。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12</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600172.SH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黄河旋风</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第1次2023年中报业绩预告，公司业绩：首亏。 预测业绩：净利润约-19,300.00万元~-19,300.00万元。较去年同期净利润7,002.49万元，变化约为-375.62%~-375.62%。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13</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000544.SZ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中原环保</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第1次2023年中报业绩预告，公司业绩：预增。 预测业绩：净利润约52,000.00万元~67,000.00万元。较去年同期净利润36,587.03万元，变化约为42.13%~83.13%。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14</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600222.SH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太龙药业</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第1次2023年中报业绩预告，公司业绩：续亏。 预测业绩：净利润约-4,000.00万元~-3,500.00万元。较去年同期净利润-2,543.23万元，变化约为-57.28%~-37.62%。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002423.SZ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中粮资本</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第1次2023年中报业绩预告，公司业绩：预增。 预测业绩：净利润约79,000.00万元~84,000.00万元。较去年同期净利润28,085.54万元，变化约为181.00%~199.00%。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16</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002431.SZ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棕榈股份</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第1次2023年中报业绩预告，公司业绩：续亏。 预测业绩：净利润约-20,000.00万元~-16,000.00万元。较去年同期净利润-28,260.54万元，变化约为29.23%~43.38%。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17</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600403.SH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大有能源</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第1次2023年中报业绩预告，公司业绩：预减。 预测业绩：净利润约22,000.00万元~28,000.00万元。较去年同期净利润82,264.81万元，变化约为-73.26%~-65.96%。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18</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002582.SZ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好想你</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第1次2023年中报业绩预告，公司业绩：首亏。 预测业绩：净利润约-2,000.00万元~-1,000.00万元。较去年同期净利润235.80万元，变化约为-948.18%~-524.09%。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19</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600469.SH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风神股份</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第1次2023年中报业绩预告，公司业绩：预增。 预测业绩：净利润约15,000.00万元~18,000.00万元。较去年同期净利润1,100.00万元，变化约为1,278.74%~1,554.49%。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600569.SH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安阳钢铁</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第1次2023年中报业绩预告，公司业绩：续亏。 预测业绩：净利润约-89,000.00万元~-75,000.00万元。较去年同期净利润-86,318.51万元，变化约为-3.11%~13.11%。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21</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600595.SH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中孚实业</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第1次2023年中报业绩预告，公司业绩：预减。 预测业绩：净利润约40,000.00万元~43,000.00万元。较去年同期净利润98,350.03万元，变化约为-59.00%~-56.00%。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22</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002714.SZ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牧原股份</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第1次2023年中报业绩预告，公司业绩：续亏。 预测业绩：净利润约-325,000.00万元~-255,000.00万元。较去年同期净利润-668,400.00万元，变化约为51.37%~61.85%。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23</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001896.SZ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豫能控股</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第1次2023年中报业绩预告，公司业绩：续亏。 预测业绩：净利润约-68,000.00万元~-48,000.00万元。较去年同期净利润-77,139.52万元，变化约为11.85%~37.78%。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24</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603993.SH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洛阳钼业</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第1次2023年中报业绩预告，公司业绩：预减。 预测业绩：净利润约63,300.00万元~77,300.00万元。较去年同期净利润414,800.00万元，变化约为-84.74%~-81.36%。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2023-07-14</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603566.SH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普莱柯</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第1次2023年中报业绩预告，公司业绩：预增。 预测业绩：净利润约11,300.00万元~12,500.00万元。较去年同期净利润8,025.91万元，变化约为40.79%~55.75%。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26</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2023-07-14</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688626.SH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翔宇医疗</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第1次2023年中报业绩预告，公司业绩：预增。 预测业绩：净利润约10,000.00万元~11,000.00万元。较去年同期净利润4,000.42万元，变化约为149.97%~174.97%。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27</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2023-07-14</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832225.BJ</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利通科技</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第1次2023年中报业绩预告，公司业绩：预增。 预测业绩：净利润约6,230.43万元~6,230.43万元。较去年同期净利润3,341.56万元，变化约为86.45%~86.45%。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28</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2023-07-14</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000933.SZ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神火股份</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第1次2023年中报业绩预告，公司业绩：略减。 预测业绩：净利润约270,000.00万元~270,000.00万元。较去年同期净利润453,437.02万元，变化约为-40.48%~-40.48%。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29</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2023-07-14</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002189.SZ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中光学</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第1次2023年中报业绩预告，公司业绩：首亏。 预测业绩：净利润约-8,500.00万元~-8,000.00万元。较去年同期净利润137.27万元，变化约为-6,292.18%~-5,927.93%。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2023-07-14</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002407.SZ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多氟多</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第1次2023年中报业绩预告，公司业绩：预减。 预测业绩：净利润约25,000.00万元~28,000.00万元。较去年同期净利润140,275.10万元，变化约为-82.18%~-80.04%。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31</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2023-07-14</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002560.SZ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通达股份</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第1次2023年中报业绩预告，公司业绩：预增。 预测业绩：净利润约8,006.80万元~9,692.44万元。较去年同期净利润3,409.62万元，变化约为134.83%~184.27%。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32</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2023-07-14</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301152.SZ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天力锂能</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第1次2023年中报业绩预告，公司业绩：首亏。 预测业绩：净利润约-8,000.00万元~-6,000.00万元。较去年同期净利润11,769.68万元，变化约为-167.97%~-150.98%。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33</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2023-07-14</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600810.SH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神马股份</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第1次2023年中报业绩预告，公司业绩：首亏。 预测业绩：净利润约-3,260.00万元~-3,260.00万元。较去年同期净利润52,645.80万元，变化约为-106.19%~-106.19%。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34</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2023-07-13</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301376.SZ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致欧科技</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第2次2023年中报业绩预告，公司业绩：预增。 预测业绩：净利润约17,200.00万元~19,200.00万元。较去年同期净利润11,036.84万元，变化约为55.84%~73.96%。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2023-07-13</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600186.SH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莲花健康</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第1次2023年中报业绩预告，公司业绩：预增。 预测业绩：净利润约5,000.00万元~5,100.00万元。较去年同期净利润3,190.23万元，变化约为56.00%~59.00%。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36</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2023-07-12</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000612.SZ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焦作万方</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第1次2023年中报业绩预告，公司业绩：预减。 预测业绩：净利润约11,000.00万元~15,000.00万元。较去年同期净利润38,298.00万元，变化约为-71.28%~-60.83%。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37</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2023-07-12</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002448.SZ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中原内配</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第1次2023年中报业绩预告，公司业绩：预增。 预测业绩：净利润约17,500.00万元~19,500.00万元。较去年同期净利润9,371.77万元，变化约为86.73%~108.07%。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38</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2023-07-12</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002535.SZ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林州重机</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第1次2023年中报业绩预告，公司业绩：预增。 预测业绩：净利润约6,100.00万元~8,100.00万元。较去年同期净利润158.56万元，变化约为3,747.12%~5,008.48%。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39</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2023-07-12</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300480.SZ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光力科技</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第1次2023年中报业绩预告，公司业绩：略增。 预测业绩：净利润约4,429.80万元~5,315.76万元。较去年同期净利润4,429.80万元，变化约为0.00%~20.00%。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40</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2023-07-11</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300109.SZ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新开源</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第1次2023年中报业绩预告，公司业绩：预增。 预测业绩：净利润约25,000.00万元~27,000.00万元。较去年同期净利润14,610.75万元，变化约为71.11%~84.80%。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41</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2023-07-06</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600312.SH</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平高电气</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第1次2023年中报业绩预告，公司业绩：预增。 预测业绩：净利润约33,200.00万元~33,200.00万元。较去年同期净利润11,658.00万元，变化约为185.00%~185.00%。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42</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2023-07-05</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002536.SZ</w:t>
            </w:r>
          </w:p>
        </w:tc>
        <w:tc>
          <w:tcPr>
            <w:tcW w:w="113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飞龙股份</w:t>
            </w:r>
          </w:p>
        </w:tc>
        <w:tc>
          <w:tcPr>
            <w:tcW w:w="1276"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业绩预告</w:t>
            </w:r>
          </w:p>
        </w:tc>
        <w:tc>
          <w:tcPr>
            <w:tcW w:w="5651" w:type="dxa"/>
            <w:vAlign w:val="center"/>
          </w:tcPr>
          <w:p>
            <w:pPr>
              <w:rPr>
                <w:rFonts w:ascii="仿宋" w:hAnsi="仿宋" w:eastAsia="仿宋"/>
                <w:color w:val="000000"/>
                <w:kern w:val="0"/>
                <w:szCs w:val="21"/>
              </w:rPr>
            </w:pPr>
            <w:r>
              <w:rPr>
                <w:rFonts w:hint="eastAsia" w:ascii="仿宋" w:hAnsi="仿宋" w:eastAsia="仿宋"/>
                <w:color w:val="000000"/>
                <w:kern w:val="0"/>
                <w:szCs w:val="21"/>
              </w:rPr>
              <w:t>第1次2023年中报业绩预告，公司业绩：预增。 预测业绩：净利润约13,000.00万元~15,000.00万元。较去年同期净利润2,405.49万元，变化约为440.43%~523.57%。</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bottom w:val="none" w:color="auto" w:sz="0" w:space="0"/>
      </w:pBdr>
      <w:tabs>
        <w:tab w:val="left" w:pos="810"/>
        <w:tab w:val="clear" w:pos="4153"/>
        <w:tab w:val="clear" w:pos="8306"/>
      </w:tabs>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wMzZkY2QzMjMxOWZmYjkxYjU3ZjBlYjgwMjdiYjkifQ=="/>
  </w:docVars>
  <w:rsids>
    <w:rsidRoot w:val="5CA456FA"/>
    <w:rsid w:val="00074D92"/>
    <w:rsid w:val="00091ABF"/>
    <w:rsid w:val="000925A6"/>
    <w:rsid w:val="000D2958"/>
    <w:rsid w:val="001201C0"/>
    <w:rsid w:val="00135E58"/>
    <w:rsid w:val="00146557"/>
    <w:rsid w:val="001733F4"/>
    <w:rsid w:val="001F1EDE"/>
    <w:rsid w:val="002071AC"/>
    <w:rsid w:val="002202DE"/>
    <w:rsid w:val="0023716C"/>
    <w:rsid w:val="002836A6"/>
    <w:rsid w:val="002860E7"/>
    <w:rsid w:val="002C52F1"/>
    <w:rsid w:val="002D46AF"/>
    <w:rsid w:val="00300266"/>
    <w:rsid w:val="00502292"/>
    <w:rsid w:val="00553805"/>
    <w:rsid w:val="00567A23"/>
    <w:rsid w:val="00634DD8"/>
    <w:rsid w:val="00662752"/>
    <w:rsid w:val="006A2010"/>
    <w:rsid w:val="006B4BC7"/>
    <w:rsid w:val="006E4910"/>
    <w:rsid w:val="0077380A"/>
    <w:rsid w:val="007A5E44"/>
    <w:rsid w:val="00832BA2"/>
    <w:rsid w:val="009052E5"/>
    <w:rsid w:val="00905FA6"/>
    <w:rsid w:val="009233CE"/>
    <w:rsid w:val="0093672A"/>
    <w:rsid w:val="00947D35"/>
    <w:rsid w:val="00967ED2"/>
    <w:rsid w:val="009B4AF1"/>
    <w:rsid w:val="00A0048E"/>
    <w:rsid w:val="00A2065C"/>
    <w:rsid w:val="00A25C9D"/>
    <w:rsid w:val="00A450DC"/>
    <w:rsid w:val="00A63D1D"/>
    <w:rsid w:val="00AB7415"/>
    <w:rsid w:val="00AE2C15"/>
    <w:rsid w:val="00AF5A65"/>
    <w:rsid w:val="00B12211"/>
    <w:rsid w:val="00B150AF"/>
    <w:rsid w:val="00BF15A3"/>
    <w:rsid w:val="00BF36C0"/>
    <w:rsid w:val="00C063F5"/>
    <w:rsid w:val="00C14AC7"/>
    <w:rsid w:val="00C278EA"/>
    <w:rsid w:val="00C4787B"/>
    <w:rsid w:val="00C50CF6"/>
    <w:rsid w:val="00D4346F"/>
    <w:rsid w:val="00D803FB"/>
    <w:rsid w:val="00DD6843"/>
    <w:rsid w:val="00DF64B8"/>
    <w:rsid w:val="00E75636"/>
    <w:rsid w:val="00F216F4"/>
    <w:rsid w:val="00F94756"/>
    <w:rsid w:val="00FA2724"/>
    <w:rsid w:val="00FE5E55"/>
    <w:rsid w:val="00FF5D07"/>
    <w:rsid w:val="08324530"/>
    <w:rsid w:val="111E6522"/>
    <w:rsid w:val="2DE34E7D"/>
    <w:rsid w:val="30AC56BF"/>
    <w:rsid w:val="383B2000"/>
    <w:rsid w:val="4ABF3832"/>
    <w:rsid w:val="55BF28E5"/>
    <w:rsid w:val="5CA456FA"/>
    <w:rsid w:val="5ECA59A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uiPriority w:val="99"/>
    <w:pPr>
      <w:jc w:val="left"/>
    </w:pPr>
    <w:rPr>
      <w:rFonts w:asciiTheme="minorHAnsi" w:hAnsiTheme="minorHAnsi" w:eastAsiaTheme="minorEastAsia" w:cstheme="minorBidi"/>
      <w:szCs w:val="22"/>
    </w:rPr>
  </w:style>
  <w:style w:type="paragraph" w:styleId="4">
    <w:name w:val="Balloon Text"/>
    <w:basedOn w:val="1"/>
    <w:link w:val="16"/>
    <w:unhideWhenUsed/>
    <w:qFormat/>
    <w:uiPriority w:val="99"/>
    <w:rPr>
      <w:rFonts w:asciiTheme="minorHAnsi" w:hAnsiTheme="minorHAnsi" w:eastAsiaTheme="minorEastAsia" w:cstheme="minorBidi"/>
      <w:sz w:val="18"/>
      <w:szCs w:val="18"/>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21"/>
    <w:unhideWhenUsed/>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uiPriority w:val="99"/>
    <w:rPr>
      <w:color w:val="000000"/>
      <w:u w:val="none"/>
    </w:rPr>
  </w:style>
  <w:style w:type="character" w:styleId="14">
    <w:name w:val="annotation reference"/>
    <w:basedOn w:val="11"/>
    <w:unhideWhenUsed/>
    <w:uiPriority w:val="99"/>
    <w:rPr>
      <w:sz w:val="21"/>
      <w:szCs w:val="21"/>
    </w:rPr>
  </w:style>
  <w:style w:type="character" w:customStyle="1" w:styleId="15">
    <w:name w:val="批注文字 字符"/>
    <w:basedOn w:val="11"/>
    <w:link w:val="3"/>
    <w:uiPriority w:val="99"/>
    <w:rPr>
      <w:rFonts w:asciiTheme="minorHAnsi" w:hAnsiTheme="minorHAnsi" w:eastAsiaTheme="minorEastAsia" w:cstheme="minorBidi"/>
      <w:kern w:val="2"/>
      <w:sz w:val="21"/>
      <w:szCs w:val="22"/>
    </w:rPr>
  </w:style>
  <w:style w:type="character" w:customStyle="1" w:styleId="16">
    <w:name w:val="批注框文本 字符"/>
    <w:basedOn w:val="11"/>
    <w:link w:val="4"/>
    <w:qFormat/>
    <w:uiPriority w:val="99"/>
    <w:rPr>
      <w:rFonts w:asciiTheme="minorHAnsi" w:hAnsiTheme="minorHAnsi" w:eastAsiaTheme="minorEastAsia" w:cstheme="minorBidi"/>
      <w:kern w:val="2"/>
      <w:sz w:val="18"/>
      <w:szCs w:val="18"/>
    </w:rPr>
  </w:style>
  <w:style w:type="character" w:customStyle="1" w:styleId="17">
    <w:name w:val="页眉 字符"/>
    <w:basedOn w:val="11"/>
    <w:link w:val="6"/>
    <w:qFormat/>
    <w:uiPriority w:val="99"/>
    <w:rPr>
      <w:rFonts w:ascii="Calibri" w:hAnsi="Calibri"/>
      <w:kern w:val="2"/>
      <w:sz w:val="18"/>
      <w:szCs w:val="24"/>
    </w:rPr>
  </w:style>
  <w:style w:type="character" w:customStyle="1" w:styleId="18">
    <w:name w:val="页脚 字符"/>
    <w:basedOn w:val="11"/>
    <w:link w:val="5"/>
    <w:qFormat/>
    <w:uiPriority w:val="99"/>
    <w:rPr>
      <w:rFonts w:ascii="Calibri" w:hAnsi="Calibri"/>
      <w:kern w:val="2"/>
      <w:sz w:val="18"/>
      <w:szCs w:val="24"/>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0">
    <w:name w:val="List Paragraph1"/>
    <w:basedOn w:val="1"/>
    <w:qFormat/>
    <w:uiPriority w:val="0"/>
    <w:pPr>
      <w:ind w:firstLine="420" w:firstLineChars="200"/>
    </w:pPr>
    <w:rPr>
      <w:szCs w:val="21"/>
    </w:rPr>
  </w:style>
  <w:style w:type="character" w:customStyle="1" w:styleId="21">
    <w:name w:val="批注主题 字符"/>
    <w:basedOn w:val="15"/>
    <w:link w:val="8"/>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017&#20449;&#20844;&#21672;&#35810;&#23454;&#20064;\&#19978;&#24066;&#20844;&#21496;&#21160;&#24577;\2&#26376;\&#21327;&#20250;&#21160;&#24577;&#21069;&#20004;&#27573;&#21450;&#34892;&#19994;&#24066;&#20540;&#20998;&#24067;&#12289;&#24066;&#20540;&#25490;&#21517;&#21069;&#21313;&#32929;&#3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17&#20449;&#20844;&#21672;&#35810;&#23454;&#20064;\&#19978;&#24066;&#20844;&#21496;&#21160;&#24577;\2&#26376;\&#21327;&#20250;&#21160;&#24577;&#21069;&#20004;&#27573;&#21450;&#34892;&#19994;&#24066;&#20540;&#20998;&#24067;&#12289;&#24066;&#20540;&#25490;&#21517;&#21069;&#21313;&#32929;&#3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17&#20449;&#20844;&#21672;&#35810;&#23454;&#20064;\&#19978;&#24066;&#20844;&#21496;&#21160;&#24577;\2&#26376;\&#26376;&#25104;&#20132;&#390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Pt>
            <c:idx val="6"/>
            <c:bubble3D val="0"/>
            <c:spPr>
              <a:solidFill>
                <a:schemeClr val="accent1">
                  <a:lumMod val="60000"/>
                </a:schemeClr>
              </a:solidFill>
              <a:ln>
                <a:noFill/>
              </a:ln>
              <a:effectLst/>
            </c:spPr>
          </c:dPt>
          <c:dPt>
            <c:idx val="7"/>
            <c:bubble3D val="0"/>
            <c:spPr>
              <a:solidFill>
                <a:schemeClr val="accent2">
                  <a:lumMod val="60000"/>
                </a:schemeClr>
              </a:solidFill>
              <a:ln>
                <a:noFill/>
              </a:ln>
              <a:effectLst/>
            </c:spPr>
          </c:dPt>
          <c:dPt>
            <c:idx val="8"/>
            <c:bubble3D val="0"/>
            <c:spPr>
              <a:solidFill>
                <a:schemeClr val="accent3">
                  <a:lumMod val="60000"/>
                </a:schemeClr>
              </a:solidFill>
              <a:ln>
                <a:noFill/>
              </a:ln>
              <a:effectLst/>
            </c:spPr>
          </c:dPt>
          <c:dLbls>
            <c:dLbl>
              <c:idx val="0"/>
              <c:layout>
                <c:manualLayout>
                  <c:x val="-0.00499375780274666"/>
                  <c:y val="0.046296296296296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
                  <c:y val="-0.055555555555555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149812734082397"/>
                  <c:y val="-0.013888888888888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0843170320404722"/>
                  <c:y val="0.065789473684210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202887581716704"/>
                  <c:y val="0.088450148501174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299625468164794"/>
                  <c:y val="0.0092592592592592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00998751560549318"/>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0.0558723161291179"/>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Sheet2!$A$18:$A$26</c:f>
              <c:strCache>
                <c:ptCount val="9"/>
                <c:pt idx="0">
                  <c:v>材料</c:v>
                </c:pt>
                <c:pt idx="1">
                  <c:v>日常消费</c:v>
                </c:pt>
                <c:pt idx="2">
                  <c:v>工业</c:v>
                </c:pt>
                <c:pt idx="3">
                  <c:v>信息技术</c:v>
                </c:pt>
                <c:pt idx="4">
                  <c:v>医疗保健</c:v>
                </c:pt>
                <c:pt idx="5">
                  <c:v>可选消费</c:v>
                </c:pt>
                <c:pt idx="6">
                  <c:v>金融</c:v>
                </c:pt>
                <c:pt idx="7">
                  <c:v>能源</c:v>
                </c:pt>
                <c:pt idx="8">
                  <c:v>公用事业</c:v>
                </c:pt>
              </c:strCache>
            </c:strRef>
          </c:cat>
          <c:val>
            <c:numRef>
              <c:f>Sheet2!$B$18:$B$26</c:f>
              <c:numCache>
                <c:formatCode>General</c:formatCode>
                <c:ptCount val="9"/>
                <c:pt idx="0">
                  <c:v>3935.06</c:v>
                </c:pt>
                <c:pt idx="1">
                  <c:v>3791.92</c:v>
                </c:pt>
                <c:pt idx="2">
                  <c:v>2015.34</c:v>
                </c:pt>
                <c:pt idx="3">
                  <c:v>1415.28</c:v>
                </c:pt>
                <c:pt idx="4">
                  <c:v>1347.88</c:v>
                </c:pt>
                <c:pt idx="5">
                  <c:v>743.15</c:v>
                </c:pt>
                <c:pt idx="6">
                  <c:v>621.88</c:v>
                </c:pt>
                <c:pt idx="7">
                  <c:v>346</c:v>
                </c:pt>
                <c:pt idx="8">
                  <c:v>220.11</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rgbClr val="D9D9D9"/>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Sheet3!$B$1</c:f>
              <c:strCache>
                <c:ptCount val="1"/>
                <c:pt idx="0">
                  <c:v>市值（亿元）（2023-07-31）</c:v>
                </c:pt>
              </c:strCache>
            </c:strRef>
          </c:tx>
          <c:spPr>
            <a:solidFill>
              <a:srgbClr val="C0504D"/>
            </a:solidFill>
          </c:spPr>
          <c:invertIfNegative val="0"/>
          <c:dLbls>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Sheet3!$A$2:$A$11</c:f>
              <c:strCache>
                <c:ptCount val="10"/>
                <c:pt idx="0">
                  <c:v>牧原股份</c:v>
                </c:pt>
                <c:pt idx="1">
                  <c:v>洛阳钼业</c:v>
                </c:pt>
                <c:pt idx="2">
                  <c:v>中航光电</c:v>
                </c:pt>
                <c:pt idx="3">
                  <c:v>双汇发展</c:v>
                </c:pt>
                <c:pt idx="4">
                  <c:v>龙佰集团</c:v>
                </c:pt>
                <c:pt idx="5">
                  <c:v>华兰生物</c:v>
                </c:pt>
                <c:pt idx="6">
                  <c:v>神火股份</c:v>
                </c:pt>
                <c:pt idx="7">
                  <c:v>安图生物</c:v>
                </c:pt>
                <c:pt idx="8">
                  <c:v>宇通客车</c:v>
                </c:pt>
                <c:pt idx="9">
                  <c:v>许继电气</c:v>
                </c:pt>
              </c:strCache>
            </c:strRef>
          </c:cat>
          <c:val>
            <c:numRef>
              <c:f>Sheet3!$B$2:$B$11</c:f>
              <c:numCache>
                <c:formatCode>General</c:formatCode>
                <c:ptCount val="10"/>
                <c:pt idx="0">
                  <c:v>2429.35</c:v>
                </c:pt>
                <c:pt idx="1">
                  <c:v>1332.67</c:v>
                </c:pt>
                <c:pt idx="2">
                  <c:v>896.57</c:v>
                </c:pt>
                <c:pt idx="3">
                  <c:v>874.48</c:v>
                </c:pt>
                <c:pt idx="4">
                  <c:v>453.96</c:v>
                </c:pt>
                <c:pt idx="5">
                  <c:v>420.15</c:v>
                </c:pt>
                <c:pt idx="6">
                  <c:v>353.86</c:v>
                </c:pt>
                <c:pt idx="7">
                  <c:v>328.25</c:v>
                </c:pt>
                <c:pt idx="8">
                  <c:v>307.29</c:v>
                </c:pt>
                <c:pt idx="9">
                  <c:v>231.42</c:v>
                </c:pt>
              </c:numCache>
            </c:numRef>
          </c:val>
        </c:ser>
        <c:dLbls>
          <c:showLegendKey val="0"/>
          <c:showVal val="1"/>
          <c:showCatName val="0"/>
          <c:showSerName val="0"/>
          <c:showPercent val="0"/>
          <c:showBubbleSize val="0"/>
        </c:dLbls>
        <c:gapWidth val="75"/>
        <c:axId val="197067424"/>
        <c:axId val="197065792"/>
      </c:barChart>
      <c:catAx>
        <c:axId val="19706742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7065792"/>
        <c:crosses val="autoZero"/>
        <c:auto val="1"/>
        <c:lblAlgn val="ctr"/>
        <c:lblOffset val="100"/>
        <c:noMultiLvlLbl val="0"/>
      </c:catAx>
      <c:valAx>
        <c:axId val="197065792"/>
        <c:scaling>
          <c:orientation val="minMax"/>
          <c:max val="2700"/>
        </c:scaling>
        <c:delete val="0"/>
        <c:axPos val="l"/>
        <c:majorGridlines>
          <c:spPr>
            <a:ln w="9525" cap="flat" cmpd="sng" algn="ctr">
              <a:noFill/>
              <a:prstDash val="solid"/>
              <a:round/>
            </a:ln>
          </c:spPr>
        </c:majorGridlines>
        <c:numFmt formatCode="#,##0.00_);[Red]\(#,##0.00\)" sourceLinked="0"/>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7067424"/>
        <c:crosses val="autoZero"/>
        <c:crossBetween val="between"/>
        <c:majorUnit val="675"/>
      </c:valAx>
      <c:spPr>
        <a:ln>
          <a:noFill/>
        </a:ln>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月成交额（亿元）</c:v>
                </c:pt>
              </c:strCache>
            </c:strRef>
          </c:tx>
          <c:spPr>
            <a:solidFill>
              <a:srgbClr val="C0504D"/>
            </a:solidFill>
          </c:spPr>
          <c:invertIfNegative val="0"/>
          <c:dLbls>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Sheet1!$A$2:$A$11</c:f>
              <c:strCache>
                <c:ptCount val="10"/>
                <c:pt idx="0">
                  <c:v>飞龙股份</c:v>
                </c:pt>
                <c:pt idx="1">
                  <c:v>牧原股份</c:v>
                </c:pt>
                <c:pt idx="2">
                  <c:v>洛阳钼业</c:v>
                </c:pt>
                <c:pt idx="3">
                  <c:v>林州重机</c:v>
                </c:pt>
                <c:pt idx="4">
                  <c:v>神火股份</c:v>
                </c:pt>
                <c:pt idx="5">
                  <c:v>中航光电</c:v>
                </c:pt>
                <c:pt idx="6">
                  <c:v>明泰铝业</c:v>
                </c:pt>
                <c:pt idx="7">
                  <c:v>拓新药业</c:v>
                </c:pt>
                <c:pt idx="8">
                  <c:v>天迈科技</c:v>
                </c:pt>
                <c:pt idx="9">
                  <c:v>多氟多</c:v>
                </c:pt>
              </c:strCache>
            </c:strRef>
          </c:cat>
          <c:val>
            <c:numRef>
              <c:f>Sheet1!$B$2:$B$11</c:f>
              <c:numCache>
                <c:formatCode>###,###,###,##0.0000</c:formatCode>
                <c:ptCount val="10"/>
                <c:pt idx="0">
                  <c:v>165.33</c:v>
                </c:pt>
                <c:pt idx="1">
                  <c:v>161.89</c:v>
                </c:pt>
                <c:pt idx="2">
                  <c:v>130.24</c:v>
                </c:pt>
                <c:pt idx="3">
                  <c:v>120.25</c:v>
                </c:pt>
                <c:pt idx="4">
                  <c:v>109.22</c:v>
                </c:pt>
                <c:pt idx="5">
                  <c:v>89.24</c:v>
                </c:pt>
                <c:pt idx="6">
                  <c:v>79.27</c:v>
                </c:pt>
                <c:pt idx="7">
                  <c:v>65.95</c:v>
                </c:pt>
                <c:pt idx="8">
                  <c:v>63.29</c:v>
                </c:pt>
                <c:pt idx="9">
                  <c:v>60.62</c:v>
                </c:pt>
              </c:numCache>
            </c:numRef>
          </c:val>
        </c:ser>
        <c:dLbls>
          <c:showLegendKey val="0"/>
          <c:showVal val="1"/>
          <c:showCatName val="0"/>
          <c:showSerName val="0"/>
          <c:showPercent val="0"/>
          <c:showBubbleSize val="0"/>
        </c:dLbls>
        <c:gapWidth val="75"/>
        <c:axId val="121946672"/>
        <c:axId val="121939600"/>
      </c:barChart>
      <c:catAx>
        <c:axId val="1219466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939600"/>
        <c:crosses val="autoZero"/>
        <c:auto val="1"/>
        <c:lblAlgn val="ctr"/>
        <c:lblOffset val="100"/>
        <c:noMultiLvlLbl val="0"/>
      </c:catAx>
      <c:valAx>
        <c:axId val="121939600"/>
        <c:scaling>
          <c:orientation val="minMax"/>
          <c:max val="200"/>
        </c:scaling>
        <c:delete val="0"/>
        <c:axPos val="l"/>
        <c:numFmt formatCode="#,##0.00_);[Red]\(#,##0.00\)" sourceLinked="0"/>
        <c:majorTickMark val="out"/>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946672"/>
        <c:crosses val="autoZero"/>
        <c:crossBetween val="between"/>
        <c:majorUnit val="50"/>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solidFill>
      <a:prstDash val="solid"/>
      <a:round/>
    </a:ln>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645EF-3FF7-4719-85A7-09EF7194798E}">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21</Pages>
  <Words>12417</Words>
  <Characters>17234</Characters>
  <Lines>129</Lines>
  <Paragraphs>36</Paragraphs>
  <TotalTime>1</TotalTime>
  <ScaleCrop>false</ScaleCrop>
  <LinksUpToDate>false</LinksUpToDate>
  <CharactersWithSpaces>17346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2023-08-10T06:43:00Z</dcterms:created>
  <dc:creator>Annie</dc:creator>
  <cp:lastModifiedBy>北乔峰</cp:lastModifiedBy>
  <cp:lastPrinted>2019-03-05T08:32:00Z</cp:lastPrinted>
  <dcterms:modified xsi:type="dcterms:W3CDTF">2023-08-21T09:04:32Z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4F291518C028489FA5EB89F23890355A_12</vt:lpwstr>
  </property>
</Properties>
</file>