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8月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color w:val="auto"/>
          <w:sz w:val="28"/>
        </w:rPr>
        <w:t>河南上市公司协会联合上海信公科技集团股份有限公司，就河南辖区上市公司2023年</w:t>
      </w:r>
      <w:r>
        <w:rPr>
          <w:rFonts w:hint="eastAsia" w:ascii="仿宋" w:hAnsi="仿宋" w:eastAsia="仿宋"/>
          <w:color w:val="auto"/>
          <w:sz w:val="28"/>
          <w:lang w:val="en-US" w:eastAsia="zh-CN"/>
        </w:rPr>
        <w:t>8</w:t>
      </w:r>
      <w:r>
        <w:rPr>
          <w:rFonts w:hint="eastAsia" w:ascii="仿宋" w:hAnsi="仿宋" w:eastAsia="仿宋"/>
          <w:color w:val="auto"/>
          <w:sz w:val="28"/>
        </w:rPr>
        <w:t>月份市场表现及公开披露的相关信息进行归纳总结、对比分析，</w:t>
      </w:r>
      <w:r>
        <w:rPr>
          <w:rFonts w:hint="eastAsia" w:ascii="仿宋" w:hAnsi="仿宋" w:eastAsia="仿宋"/>
          <w:sz w:val="28"/>
        </w:rPr>
        <w:t>具体如下：</w:t>
      </w:r>
    </w:p>
    <w:p>
      <w:pPr>
        <w:spacing w:after="156" w:afterLines="50" w:line="360" w:lineRule="auto"/>
        <w:rPr>
          <w:rFonts w:ascii="仿宋" w:hAnsi="仿宋" w:eastAsia="仿宋"/>
          <w:b/>
          <w:sz w:val="28"/>
        </w:rPr>
      </w:pPr>
      <w:r>
        <w:rPr>
          <w:rFonts w:hint="eastAsia" w:ascii="仿宋" w:hAnsi="仿宋" w:eastAsia="仿宋"/>
          <w:b/>
          <w:sz w:val="28"/>
        </w:rPr>
        <w:t>一、八</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b/>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rPr>
        <w:t xml:space="preserve"> </w:t>
      </w:r>
      <w:r>
        <w:rPr>
          <w:rFonts w:hint="eastAsia" w:ascii="仿宋" w:hAnsi="仿宋" w:eastAsia="仿宋" w:cs="仿宋"/>
          <w:b/>
          <w:sz w:val="28"/>
          <w:szCs w:val="28"/>
        </w:rPr>
        <w:t>国资委：把科技创新摆在“头号工程”的重要位置 全力突破关键核心技术“卡脖子”问题。</w:t>
      </w:r>
      <w:r>
        <w:rPr>
          <w:rFonts w:hint="eastAsia" w:ascii="仿宋" w:hAnsi="仿宋" w:eastAsia="仿宋" w:cs="仿宋"/>
          <w:sz w:val="28"/>
          <w:szCs w:val="28"/>
        </w:rPr>
        <w:t>《学习时报》8月7日头版头条刊发国务院国资委主任张玉卓署名文章《在推进中国式现代化建设中谱写国资央企新篇章》。文章指出，加快锻造高水平科技自立自强的国家队。坚持“四个面向”，立足国家所需、产业所趋、产业链供应链所困，把科技创新摆在“头号工程”的重要位置，突出企业创新主体地位，锻造国家战略科技力量，全力突破引领行业发展的原创性、前沿性技术，全力突破关键核心技术“卡脖子”问题，全力突破科技创新投入不足、效率不高、产出不够、转化不畅等制约瓶颈，培育更多卓越高科技人才队伍，打造更多更具含金量的“国之重器”，助力科技强国建设。</w:t>
      </w:r>
    </w:p>
    <w:p>
      <w:pPr>
        <w:widowControl/>
        <w:ind w:firstLine="562" w:firstLineChars="200"/>
        <w:rPr>
          <w:rFonts w:ascii="仿宋" w:hAnsi="仿宋" w:eastAsia="仿宋" w:cs="仿宋"/>
          <w:b/>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财政部：用好外经贸发展专项资金等政策 支持稳住外贸外资基本盘。</w:t>
      </w:r>
      <w:r>
        <w:rPr>
          <w:rFonts w:hint="eastAsia" w:ascii="仿宋" w:hAnsi="仿宋" w:eastAsia="仿宋" w:cs="仿宋"/>
          <w:sz w:val="28"/>
          <w:szCs w:val="28"/>
        </w:rPr>
        <w:t>财联社8月30日电，财政部发布2023年上半年中国财政政策执行情况报告。报告提出，下半年，支持做强做优实体经济。确保研发费用加计扣除等惠企创新政策应享尽享，引导更多中小企业向专精特新方向发展。研究深化财政科技经费分配使用机制改革，不断提升科技投入效能。坚持把制造业高质量发展作为重中之重，强化创新驱动，加大关键核心技术攻关保障力度，研究支持先进制造业发展的相关政策，打造现代化产业体系。健全乡村振兴投入机制，坚决守牢确保粮食安全、防止规模性返贫等底线，扎实推进乡村发展、乡村建设等重点任务。落实区域重大战略，增强区域发展协调性均衡性。用好外经贸发展专项资金等政策，支持稳住外贸外资基本盘。</w:t>
      </w:r>
    </w:p>
    <w:p>
      <w:pPr>
        <w:widowControl/>
        <w:ind w:firstLine="562" w:firstLineChars="200"/>
        <w:rPr>
          <w:rFonts w:ascii="仿宋" w:hAnsi="仿宋" w:eastAsia="仿宋" w:cs="仿宋"/>
          <w:b/>
          <w:sz w:val="28"/>
          <w:szCs w:val="28"/>
        </w:rPr>
      </w:pPr>
      <w:r>
        <w:rPr>
          <w:rFonts w:ascii="仿宋" w:hAnsi="仿宋" w:eastAsia="仿宋" w:cs="仿宋"/>
          <w:b/>
          <w:bCs/>
          <w:sz w:val="28"/>
          <w:szCs w:val="28"/>
        </w:rPr>
        <w:t>3.</w:t>
      </w:r>
      <w:r>
        <w:rPr>
          <w:rFonts w:hint="eastAsia" w:ascii="仿宋" w:hAnsi="仿宋" w:eastAsia="仿宋" w:cs="仿宋"/>
          <w:b/>
          <w:sz w:val="28"/>
          <w:szCs w:val="28"/>
        </w:rPr>
        <w:t>商务部：1-7月我国服务进出口总额36669.1亿元人民币 同比增长8.1%。</w:t>
      </w:r>
      <w:r>
        <w:rPr>
          <w:rFonts w:hint="eastAsia" w:ascii="仿宋" w:hAnsi="仿宋" w:eastAsia="仿宋" w:cs="仿宋"/>
          <w:sz w:val="28"/>
          <w:szCs w:val="28"/>
        </w:rPr>
        <w:t>财联社8月31日电，商务部今天（31日）公布的数据显示，2023年1-7月，我国服务贸易继续保持增长态势。数据显示，1-7月，我国服务进出口总额36669.1亿元人民币，同比增长8.1%。知识密集型服务贸易占比提升。1-7月，知识密集型服务进出口15838.7亿元，同比增长11.7%，占服务进出口总额的比重达43.2%，较上年同期提升1.4个百分点。旅行服务明显恢复。1-7月，旅行服务进出口7681.3亿元，同比增长66.2%，继续成为增长最快的服务贸易领域。其中，出口增长55.8%，进口增长67%。</w:t>
      </w:r>
    </w:p>
    <w:p>
      <w:pPr>
        <w:widowControl/>
        <w:ind w:firstLine="562" w:firstLineChars="200"/>
        <w:rPr>
          <w:rFonts w:ascii="仿宋" w:hAnsi="仿宋" w:eastAsia="仿宋" w:cs="仿宋"/>
          <w:b/>
          <w:bCs/>
          <w:sz w:val="28"/>
          <w:szCs w:val="28"/>
        </w:rPr>
      </w:pPr>
      <w:r>
        <w:rPr>
          <w:rFonts w:ascii="仿宋" w:hAnsi="仿宋" w:eastAsia="仿宋" w:cs="仿宋"/>
          <w:b/>
          <w:bCs/>
          <w:sz w:val="28"/>
          <w:szCs w:val="28"/>
        </w:rPr>
        <w:t>4.</w:t>
      </w:r>
      <w:r>
        <w:rPr>
          <w:rFonts w:hint="eastAsia"/>
        </w:rPr>
        <w:t xml:space="preserve"> </w:t>
      </w:r>
      <w:r>
        <w:rPr>
          <w:rFonts w:hint="eastAsia" w:ascii="仿宋" w:hAnsi="仿宋" w:eastAsia="仿宋" w:cs="仿宋"/>
          <w:b/>
          <w:bCs/>
          <w:sz w:val="28"/>
          <w:szCs w:val="28"/>
        </w:rPr>
        <w:t>央行：要进一步推动我国新能源汽车产业高质量发展 大力推动充换电网络建设。</w:t>
      </w:r>
      <w:r>
        <w:rPr>
          <w:rFonts w:hint="eastAsia" w:ascii="仿宋" w:hAnsi="仿宋" w:eastAsia="仿宋" w:cs="仿宋"/>
          <w:bCs/>
          <w:sz w:val="28"/>
          <w:szCs w:val="28"/>
        </w:rPr>
        <w:t>财联社8月17日电，央行发布2023年第二季度中国货币政策执行报告。其中提到，下阶段，要进一步推动我国新能源汽车产业高质量发展，加快建设汽车强国，以高质量供给引领和创造需求，有力提振汽车等大宗消费。一是提高技术创新能力。提升新能源汽车在集成、节能、安全等方面的技术水平，提高综合性能。加强动力电池与管理系统、驱动电机与电力电子、网联化与智能化技术研发，提升关键零部件技术供给体系。二是构建新型产业生态。鼓励新能源汽车、能源、交通、信息通信等领域企业跨界协同，发挥龙头企业带动作用，提升产业链现代化水平。三是完善基础设施体系。大力推动充换电网络建设，加快充换电基础设施建设、提升充电基础设施服务水平。</w:t>
      </w:r>
    </w:p>
    <w:p>
      <w:pPr>
        <w:spacing w:before="156" w:beforeLines="50" w:after="156" w:afterLines="50"/>
        <w:ind w:firstLine="562" w:firstLineChars="200"/>
        <w:rPr>
          <w:rFonts w:ascii="仿宋" w:hAnsi="仿宋" w:eastAsia="仿宋" w:cs="仿宋"/>
          <w:bCs/>
          <w:sz w:val="28"/>
          <w:szCs w:val="28"/>
        </w:rPr>
      </w:pPr>
      <w:r>
        <w:rPr>
          <w:rFonts w:ascii="仿宋" w:hAnsi="仿宋" w:eastAsia="仿宋" w:cs="仿宋"/>
          <w:b/>
          <w:bCs/>
          <w:sz w:val="28"/>
          <w:szCs w:val="28"/>
        </w:rPr>
        <w:t>5.</w:t>
      </w:r>
      <w:r>
        <w:rPr>
          <w:rFonts w:hint="eastAsia"/>
        </w:rPr>
        <w:t xml:space="preserve"> </w:t>
      </w:r>
      <w:r>
        <w:rPr>
          <w:rFonts w:hint="eastAsia" w:ascii="仿宋" w:hAnsi="仿宋" w:eastAsia="仿宋" w:cs="仿宋"/>
          <w:b/>
          <w:bCs/>
          <w:sz w:val="28"/>
          <w:szCs w:val="28"/>
        </w:rPr>
        <w:t>证监会：根据近期市场情况，阶段性收紧IPO节奏，促进投融资两端的动态平衡。</w:t>
      </w:r>
      <w:r>
        <w:rPr>
          <w:rFonts w:hint="eastAsia" w:ascii="仿宋" w:hAnsi="仿宋" w:eastAsia="仿宋" w:cs="仿宋"/>
          <w:bCs/>
          <w:sz w:val="28"/>
          <w:szCs w:val="28"/>
        </w:rPr>
        <w:t>财联社8月27日电，证监会充分考虑当前市场形势，完善一二级市场逆周期调节机制，围绕合理把握IPO、再融资节奏，作出以下安排：一、根据近期市场情况，阶段性收紧IPO节奏，促进投融资两端的动态平衡。二、对于金融行业上市公司或者其他行业大市值上市公司的大额再融资，实施预沟通机制，关注融资必要性和发行时机。三、突出扶优限劣，对于存在破发、破净、经营业绩持续亏损、财务性投资比例偏高等情形的上市公司再融资，适当限制其融资间隔、融资规模。四、引导上市公司合理确定再融资规模，严格执行融资间隔期要求。审核中将对前次募集资金是否基本使用完毕，前次募集资金项目是否达到预期效益等予以重点关注。五、严格要求上市公司募集资金应当投向主营业务，严限多元化投资。六、房地产上市公司再融资不受破发、破净和亏损限制。</w:t>
      </w:r>
    </w:p>
    <w:p>
      <w:pPr>
        <w:widowControl/>
        <w:ind w:firstLine="562" w:firstLineChars="200"/>
        <w:rPr>
          <w:rFonts w:ascii="仿宋" w:hAnsi="仿宋" w:eastAsia="仿宋" w:cs="仿宋"/>
          <w:b/>
          <w:bCs/>
          <w:sz w:val="28"/>
          <w:szCs w:val="28"/>
        </w:rPr>
      </w:pPr>
      <w:r>
        <w:rPr>
          <w:rFonts w:hint="eastAsia" w:ascii="仿宋" w:hAnsi="仿宋" w:eastAsia="仿宋" w:cs="仿宋"/>
          <w:b/>
          <w:bCs/>
          <w:sz w:val="28"/>
          <w:szCs w:val="28"/>
        </w:rPr>
        <w:t>二、八月券商行业研究情况浏览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ascii="仿宋" w:hAnsi="仿宋" w:eastAsia="仿宋" w:cs="仿宋"/>
          <w:b/>
          <w:bCs/>
          <w:color w:val="333333"/>
          <w:kern w:val="0"/>
          <w:sz w:val="28"/>
          <w:szCs w:val="28"/>
          <w:shd w:val="clear" w:color="auto" w:fill="FFFFFF"/>
        </w:rPr>
        <w:t>国防军工行业卫星互联网产业：卫星通信升级，未来已来</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低轨卫星的优势。低轨卫星由于轨道低，具备传输延时小、链路损耗低、发射灵活、应用场景丰富、制造成本低等优点，且可通过增加卫星数量提高系统容量，因而非常适合应用于卫星互联网。</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各国星链计划逐步推进。2015年以来，各国发现低轨卫星互联网在未来的战略意义，并先后提出了近30个星座计划。当前，“星链(Starlink) ”、“一网” (Oneweb)已经投入商用，“Lightspeed”、“柯伊伯”(Kuiper)等星座正在建设规划中。SpaceX通过密集发射的方式实现快速组网，截至2022年12月已部署3666颗卫星，并在多达个45国家和地区布局，为超过100万个用户提供通信服务。“一网”卫星于2022年9月在南非试行服务。</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星链计划逐步扩容。以美国SpaceX公司的Starlink计划为例，该公司于2015年宣布计划向近地轨道发射大约1.2万颗星链卫星，以构建一个庞大的低轨道卫星星座。在2019年10月，SpaceX公司宣布计划向美国联邦通信委员会（FCC）提交补充申请，增加卫星数量3万颗。在完成首批1.2万颗卫星的发射后，公司计划将另外3万颗卫星发射至328至580公里的低地球轨道上，届时，卫星总数量将达到4.2万颗。</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低轨卫星争夺已经打响。据中国信通院2021年6月发布的《6G总体愿景与潜在关键技术白皮书》估算，地球近地轨道共可容纳约10万颗卫星。根据《我国低轨卫星互联网发展的问题与对策建议》统计，截至2022年4月10日，全球申请低轨卫星数量已达到74353颗，美国申请低轨卫星50626颗，中国申请数量14220颗，美国申报数量是我国的3.6倍；预计后续低轨道卫星将进入密集发射期，同时对部署低轨道卫星的争夺将愈发激烈。按照ITU规定，中国卫星网络集团有限公司需在2027年11月前发射已申请的12922颗卫星，否则需对申请的卫星数量进行相应调减</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全球各国都高度关注卫星互联网的发展，先来者将具备先发优势，成熟的发射体系以及配套服务将会带来更高的商业价值。近年来低轨卫星互联网产业景气度不断提升，随着商业应用的不断普及，后续市场空间广阔，同时带动卫星制造以及运营服务等领域快速发展。</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（内容来源：东莞证券股份有限公司202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08</w:t>
      </w:r>
      <w:r>
        <w:rPr>
          <w:rFonts w:hint="eastAsia" w:ascii="微软雅黑" w:hAnsi="微软雅黑" w:eastAsia="微软雅黑"/>
          <w:color w:val="999999"/>
          <w:sz w:val="21"/>
          <w:szCs w:val="21"/>
          <w:shd w:val="clear" w:color="auto" w:fill="FFFFFF"/>
        </w:rPr>
        <w:t>-</w:t>
      </w:r>
      <w:r>
        <w:rPr>
          <w:rFonts w:ascii="微软雅黑" w:hAnsi="微软雅黑" w:eastAsia="微软雅黑"/>
          <w:color w:val="999999"/>
          <w:sz w:val="21"/>
          <w:szCs w:val="21"/>
          <w:shd w:val="clear" w:color="auto" w:fill="FFFFFF"/>
        </w:rPr>
        <w:t>31</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核能发电行业：政策支持及国产替代，核电发展前景可期</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政策支持及机组投产有望促进行业良性发展。近年来我国出台一系列政策，明确发展目标及开发计划，支持核能发电行业良性发展。根据国家发改委、国家能源局发布的《“十四五”现代能源体系规划》，到2025年，核电运行装机容量达到7000万千瓦左右。同时，核电企业积极推进装机，中国核电规划到2025年运行电力装机容量达到5600万千瓦。我们认为，在国家规划指引下，核电审批、建设有望持续推进，未来新核准机组将逐步建成投产，并有望贡献核电增量。根据《中国核能发展报告（2023）》，综合多家机构的研究成果，预计到2035年，我国核能发电量在总发电量的占比将达到10%，相比2022年翻倍。</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我国实现由二代向自主三代核电技术的全面跨越。2023年4月26日，中国核能行业协会发布《中国核能发展报告（2023）》，其中显示，国内外共有5台“华龙一号”机组建成投产，9台机组正在建设，“华龙一号”批量化建设有序推进，标志着我国真正自主掌握了三代核电技术，核电技术水平跻身世界前列。同时，“华龙一号”在工程建设、安全运行方面数字化水平不断提升，设计优化改进方案实现固化，自主软件取证持续推进。一批自主化关键设备、材料已在“华龙一号”在建项目中实现应用。综合来看，我国核电自主创新能力显著增强，运用第三代核电技术的“华龙一号”机组陆续投运，我国实现由二代向自主三代核电技术的全面跨越。</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根据国家发改委、国家能源局发布的《“十四五”现代能源体系规划》，到2025年，核电运行装机容量达到7000万千瓦左右。同时，核电企业积极推进装机，中国核电规划到2025年运行电力装机容量达到5600万千瓦。在国家规划指引下，核电审批、建设有望持续推进，未来新核准机组将逐步建成投产，并有望贡献核电增量。另外，我国高度重视核电产业链自主可控，发布多份政策文件推动关键设备自主研发。2022年国内核电主设备累计交付54台套，交付数量创近五年新高，我国已形成百万千瓦级压水堆核电主设备成套供货能力，主要核电堆型设备国产化率达到90%以上，核电装备制造国产化和自主化能力不断提升。未来随着我国继续实施核心设备和零部件国产化攻关，核电产业链有望进一步实现自主可控，核电项目成本有望迎来优化。</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（内容来源：东莞证券股份有限公司202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08</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31</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w:t>
      </w:r>
      <w:r>
        <w:rPr>
          <w:rFonts w:hint="eastAsia"/>
        </w:rPr>
        <w:t xml:space="preserve"> </w:t>
      </w:r>
      <w:r>
        <w:rPr>
          <w:rFonts w:hint="eastAsia" w:ascii="仿宋" w:hAnsi="仿宋" w:eastAsia="仿宋" w:cs="仿宋"/>
          <w:b/>
          <w:bCs/>
          <w:color w:val="333333"/>
          <w:kern w:val="0"/>
          <w:sz w:val="28"/>
          <w:szCs w:val="28"/>
          <w:shd w:val="clear" w:color="auto" w:fill="FFFFFF"/>
        </w:rPr>
        <w:t>电力设备新能源行业：电力需求侧响应，基于数字技术的灵活性调节方式</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需求侧响应是电力系统灵活性提升的重要一环。</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电力需求侧响应是指电力用户基于价格信号或激励措施，通过暂时调整其用电需求，减少或增加特定时段的用电负荷，从而保障电网稳定运行，促进电力供需平衡的行为，是建立新型电力系统并提升其灵活性的重要一环。</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短期来看，缺电、中长期新能源发电比例不断提升等有望倒逼电力市场化改革进程加快推进，有利于电力需求侧响应套利机制的完善，从而打通需求侧响应的商业模式并推动市场规模稳步提升；长期来看，随着工商业电气化、电动车保有量提升及分布式能源的进一步发展，精准调控的需求越来越大，需求侧响应具备长期发展的重要潜力。</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近期我国新电改政策提速，推动电力需求侧响应商业模式逐渐完善。</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5月19日国家发改委就《电力需求侧管理办法（征求意见稿）》、《电力负荷管理办法（征求意见稿）》向社会公开征求意见；（2）7月11日中央全面深化改革委员会第二次会议上通过了《关于深化电力体制改革加快构建新型电力系统的指导意见》；（3）7月13日，国家能源局提出全面加快建设全国统一电力市场体系，研究制定“1+N”基础规则制度，深化辅助服务市场机制。需求侧响应的相关制度和能力建设正加速推进，为需求侧响应商业模式的完善奠定基础。</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电力需求侧响应及综合能源服务市场空间广阔，2030年有望达到千亿级别。</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电力需求侧响应方面，根据我们测算：（1）2025年，我国县级负荷管理平台资产存量市场空间将达60亿元（渗透率达100%），虚拟电厂平台资产存量市场空间达204亿元，聚合商、虚拟电厂邀约型/市场型运营空间达到238/219亿元。（2）2030年，我国虚拟电厂平台资产存量市场空间达320亿元，聚合商、虚拟电厂邀约型/市场型运营空间有望达到504/526亿元。</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综合能源服务方面，根据清大科越招股说明书（申报稿）中援引自中国电力企业联合会《综合能源服务发展情况研究》中的有关数据，预计2020-2025年，我国包括能源互联网在内的综合能源服务产业市场潜力规模将由0.5万亿元增长到0.8~1.2万亿元；2035年步入成熟期，市场潜力规模约在1.3~1.8万亿元。</w:t>
      </w:r>
    </w:p>
    <w:p>
      <w:pPr>
        <w:pStyle w:val="7"/>
        <w:spacing w:before="156" w:beforeLines="50" w:beforeAutospacing="0" w:after="156" w:afterLines="50" w:afterAutospacing="0" w:line="360" w:lineRule="auto"/>
        <w:ind w:firstLine="561"/>
        <w:jc w:val="right"/>
        <w:rPr>
          <w:rFonts w:hint="eastAsia" w:ascii="微软雅黑" w:hAnsi="微软雅黑" w:eastAsia="微软雅黑" w:cs="Calibri"/>
          <w:color w:val="A6A6A6" w:themeColor="background1" w:themeShade="A6"/>
          <w:sz w:val="21"/>
          <w:szCs w:val="21"/>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 w:val="21"/>
          <w:szCs w:val="21"/>
        </w:rPr>
        <w:t>（内容来源：光大证券有限责任公司202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08</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30</w:t>
      </w:r>
      <w:r>
        <w:rPr>
          <w:rFonts w:hint="eastAsia" w:ascii="微软雅黑" w:hAnsi="微软雅黑" w:eastAsia="微软雅黑" w:cs="Calibri"/>
          <w:color w:val="A6A6A6" w:themeColor="background1" w:themeShade="A6"/>
          <w:sz w:val="21"/>
          <w:szCs w:val="21"/>
        </w:rPr>
        <w:t>）</w:t>
      </w:r>
    </w:p>
    <w:p>
      <w:pPr>
        <w:spacing w:before="156" w:beforeLines="50" w:after="156" w:afterLines="50"/>
        <w:ind w:firstLine="562" w:firstLineChars="20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截至2023年8月31日,河南辖区共有</w:t>
      </w:r>
      <w:r>
        <w:rPr>
          <w:rFonts w:ascii="仿宋" w:hAnsi="仿宋" w:eastAsia="仿宋"/>
          <w:sz w:val="28"/>
        </w:rPr>
        <w:t>A股上市公司110</w:t>
      </w:r>
      <w:r>
        <w:rPr>
          <w:rFonts w:hint="eastAsia" w:ascii="仿宋" w:hAnsi="仿宋" w:eastAsia="仿宋"/>
          <w:sz w:val="28"/>
        </w:rPr>
        <w:t>家。位居全国第12位（按照协会口径统计）。其中上交所主板29家，科创板5家，深交所主板36家、创业板28家。</w:t>
      </w:r>
    </w:p>
    <w:p>
      <w:pPr>
        <w:spacing w:line="360" w:lineRule="auto"/>
        <w:ind w:firstLine="560" w:firstLineChars="200"/>
        <w:rPr>
          <w:rFonts w:ascii="仿宋" w:hAnsi="仿宋" w:eastAsia="仿宋"/>
          <w:sz w:val="28"/>
        </w:rPr>
      </w:pPr>
      <w:r>
        <w:rPr>
          <w:rFonts w:hint="eastAsia" w:ascii="仿宋" w:hAnsi="仿宋" w:eastAsia="仿宋"/>
          <w:sz w:val="28"/>
        </w:rPr>
        <w:t>截至2023年8月31日, 河南辖区A股上市公司的总市值为13,706.78亿元，占</w:t>
      </w:r>
      <w:r>
        <w:rPr>
          <w:rFonts w:ascii="仿宋" w:hAnsi="仿宋" w:eastAsia="仿宋"/>
          <w:sz w:val="28"/>
        </w:rPr>
        <w:t>A股上市公司总市值的1.50%</w:t>
      </w:r>
      <w:r>
        <w:rPr>
          <w:rFonts w:hint="eastAsia" w:ascii="仿宋" w:hAnsi="仿宋" w:eastAsia="仿宋"/>
          <w:sz w:val="28"/>
        </w:rPr>
        <w:t>。2023年河南辖区上市公司再融资（含增发、配股）募集资金总额为4</w:t>
      </w:r>
      <w:r>
        <w:rPr>
          <w:rFonts w:ascii="仿宋" w:hAnsi="仿宋" w:eastAsia="仿宋"/>
          <w:sz w:val="28"/>
        </w:rPr>
        <w:t>4</w:t>
      </w:r>
      <w:r>
        <w:rPr>
          <w:rFonts w:hint="eastAsia" w:ascii="仿宋" w:hAnsi="仿宋" w:eastAsia="仿宋"/>
          <w:sz w:val="28"/>
        </w:rPr>
        <w:t>.</w:t>
      </w:r>
      <w:r>
        <w:rPr>
          <w:rFonts w:ascii="仿宋" w:hAnsi="仿宋" w:eastAsia="仿宋"/>
          <w:sz w:val="28"/>
        </w:rPr>
        <w:t>48</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743200"/>
            <wp:effectExtent l="4445" t="4445" r="14605" b="82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57175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156" w:beforeLines="50" w:after="156" w:afterLines="50"/>
        <w:ind w:firstLine="562" w:firstLineChars="200"/>
        <w:rPr>
          <w:rFonts w:ascii="仿宋" w:hAnsi="仿宋" w:eastAsia="仿宋"/>
          <w:b/>
          <w:sz w:val="28"/>
        </w:rPr>
      </w:pPr>
      <w:r>
        <w:rPr>
          <w:rFonts w:hint="eastAsia" w:ascii="仿宋" w:hAnsi="仿宋" w:eastAsia="仿宋"/>
          <w:b/>
          <w:sz w:val="28"/>
        </w:rPr>
        <w:t>四、河南辖区上市公司8月市场表现分析</w:t>
      </w:r>
    </w:p>
    <w:p>
      <w:pPr>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s="仿宋"/>
          <w:sz w:val="28"/>
          <w:szCs w:val="28"/>
        </w:rPr>
        <w:t>8</w:t>
      </w:r>
      <w:r>
        <w:rPr>
          <w:rFonts w:hint="eastAsia" w:ascii="仿宋" w:hAnsi="仿宋" w:eastAsia="仿宋" w:cs="仿宋"/>
          <w:sz w:val="28"/>
          <w:szCs w:val="28"/>
        </w:rPr>
        <w:t>月初期市场再度陷入缩量格局。8日三大指数集体低开，房地产产业链低迷压制股指表现。14日市场早盘低开后震荡走低，三大指数均跌超1%，深成指创年内新低。但数字经济以及AI概念股在盘中展开反弹，有助于市场情绪的调动。2</w:t>
      </w:r>
      <w:r>
        <w:rPr>
          <w:rFonts w:ascii="仿宋" w:hAnsi="仿宋" w:eastAsia="仿宋" w:cs="仿宋"/>
          <w:sz w:val="28"/>
          <w:szCs w:val="28"/>
        </w:rPr>
        <w:t>1</w:t>
      </w:r>
      <w:r>
        <w:rPr>
          <w:rFonts w:hint="eastAsia" w:ascii="仿宋" w:hAnsi="仿宋" w:eastAsia="仿宋" w:cs="仿宋"/>
          <w:sz w:val="28"/>
          <w:szCs w:val="28"/>
        </w:rPr>
        <w:t>日指数仍处于弱势下跌的格局之中，并且市场的亏钱效应仍在延续。截至收盘，沪指跌1.24%，深成指跌1.32%，创业板指跌1.6%。28日市场早盘受利好刺激大幅高开，随后各指数震荡回落。地产股集体大涨，券商股大幅高开后震荡回落，煤炭股震荡反弹。</w:t>
      </w:r>
      <w:r>
        <w:rPr>
          <w:rFonts w:ascii="仿宋" w:hAnsi="仿宋" w:eastAsia="仿宋"/>
          <w:color w:val="000000" w:themeColor="text1"/>
          <w:sz w:val="28"/>
          <w14:textFill>
            <w14:solidFill>
              <w14:schemeClr w14:val="tx1"/>
            </w14:solidFill>
          </w14:textFill>
        </w:rPr>
        <w:t>及至月末，上证综指下跌5.20%</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3,119.88</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下跌6.51%</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10,418.21</w:t>
      </w:r>
      <w:r>
        <w:rPr>
          <w:rFonts w:hint="eastAsia" w:ascii="仿宋" w:hAnsi="仿宋" w:eastAsia="仿宋"/>
          <w:color w:val="000000" w:themeColor="text1"/>
          <w:sz w:val="28"/>
          <w14:textFill>
            <w14:solidFill>
              <w14:schemeClr w14:val="tx1"/>
            </w14:solidFill>
          </w14:textFill>
        </w:rPr>
        <w:t>点；创业板指下跌5.45%，报收</w:t>
      </w:r>
      <w:r>
        <w:rPr>
          <w:rFonts w:ascii="仿宋" w:hAnsi="仿宋" w:eastAsia="仿宋"/>
          <w:color w:val="000000" w:themeColor="text1"/>
          <w:sz w:val="28"/>
          <w14:textFill>
            <w14:solidFill>
              <w14:schemeClr w14:val="tx1"/>
            </w14:solidFill>
          </w14:textFill>
        </w:rPr>
        <w:t>2,102.58</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2023年8月，河南</w:t>
      </w:r>
      <w:r>
        <w:rPr>
          <w:rFonts w:ascii="仿宋" w:hAnsi="仿宋" w:eastAsia="仿宋"/>
          <w:sz w:val="28"/>
        </w:rPr>
        <w:t>辖区</w:t>
      </w:r>
      <w:r>
        <w:rPr>
          <w:rFonts w:hint="eastAsia" w:ascii="仿宋" w:hAnsi="仿宋" w:eastAsia="仿宋"/>
          <w:sz w:val="28"/>
        </w:rPr>
        <w:t>涨幅排名前10位的股票中，信息技术占据3席，日常消费、可选消费和医疗保健各占据2席，能源占据1席，涨幅最大的是中原传媒，</w:t>
      </w:r>
      <w:r>
        <w:rPr>
          <w:rFonts w:ascii="仿宋" w:hAnsi="仿宋" w:eastAsia="仿宋"/>
          <w:sz w:val="28"/>
        </w:rPr>
        <w:t>上涨</w:t>
      </w:r>
      <w:r>
        <w:rPr>
          <w:rFonts w:hint="eastAsia" w:ascii="仿宋" w:hAnsi="仿宋" w:eastAsia="仿宋"/>
          <w:sz w:val="28"/>
        </w:rPr>
        <w:t>22.66%；其次是新天地，</w:t>
      </w:r>
      <w:r>
        <w:rPr>
          <w:rFonts w:ascii="仿宋" w:hAnsi="仿宋" w:eastAsia="仿宋"/>
          <w:sz w:val="28"/>
        </w:rPr>
        <w:t>上涨</w:t>
      </w:r>
      <w:r>
        <w:rPr>
          <w:rFonts w:hint="eastAsia" w:ascii="仿宋" w:hAnsi="仿宋" w:eastAsia="仿宋"/>
          <w:sz w:val="28"/>
        </w:rPr>
        <w:t>17.14%。</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（2023-08-31）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000719.SZ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中原传媒</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22.66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13.21</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hint="eastAsia" w:ascii="仿宋" w:hAnsi="仿宋" w:eastAsia="仿宋"/>
                <w:color w:val="000000"/>
                <w:szCs w:val="21"/>
              </w:rPr>
              <w:t>70.57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301277.SZ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新天地</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17.14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23.30</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22.85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12.61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3.75</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38.38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天迈科技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11.13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33.65</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64.63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002087.SZ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*ST新纺</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9.57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2.29</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-27.30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601666.SH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平煤股份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6.88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8.55</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-12.85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能源</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000895.SZ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双汇发展</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6.42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26.86</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7.85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301182.SZ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凯旺科技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5.77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23.11</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23.34</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002179.SZ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中航光电</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5.75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44.72</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1.65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600285.SH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羚锐制药</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5.45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16.06</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27.88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材料占据4席，医疗保健和工业各占据2席，日常消费和金融各占据1席，跌幅最大的为天力锂能，下跌32.19</w:t>
      </w:r>
      <w:r>
        <w:rPr>
          <w:rFonts w:ascii="仿宋" w:hAnsi="仿宋" w:eastAsia="仿宋"/>
          <w:sz w:val="28"/>
        </w:rPr>
        <w:t>%</w:t>
      </w:r>
      <w:r>
        <w:rPr>
          <w:rFonts w:hint="eastAsia" w:ascii="仿宋" w:hAnsi="仿宋" w:eastAsia="仿宋"/>
          <w:sz w:val="28"/>
        </w:rPr>
        <w:t>;其次为安图生物，下跌18.11</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（2023-08-31）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301152.SZ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天力锂能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-32.19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32.31</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hint="eastAsia" w:ascii="仿宋" w:hAnsi="仿宋" w:eastAsia="仿宋"/>
                <w:color w:val="000000"/>
                <w:szCs w:val="21"/>
              </w:rPr>
              <w:t>-32.50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603658.SH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安图生物</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-18.11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45.85</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-24.77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多氟多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-16.33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16.40</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-29.90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000885.SZ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城发环境</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-15.82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10.96</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17.18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688626.SH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翔宇医疗</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-15.33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40.83</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28.79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831087.BJ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秋乐种业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-15.25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6.78</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23.69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000400.SZ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许继电气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-14.93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19.32</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-2.63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300481.SZ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濮阳惠成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-14.85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17.37</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-33.76</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839725.BJ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惠丰钻石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-13.71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12.84</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-25.90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002423.SZ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中粮资本</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-12.57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7.65</w:t>
            </w:r>
          </w:p>
        </w:tc>
        <w:tc>
          <w:tcPr>
            <w:tcW w:w="1767" w:type="dxa"/>
            <w:tcBorders>
              <w:top w:val="single" w:color="auto" w:sz="4" w:space="0"/>
              <w:left w:val="nil"/>
              <w:bottom w:val="single" w:color="auto" w:sz="4" w:space="0"/>
              <w:right w:val="single" w:color="auto" w:sz="4" w:space="0"/>
            </w:tcBorders>
            <w:shd w:val="clear" w:color="auto" w:fill="auto"/>
            <w:vAlign w:val="bottom"/>
          </w:tcPr>
          <w:p>
            <w:pPr>
              <w:jc w:val="center"/>
              <w:rPr>
                <w:rFonts w:hint="eastAsia" w:ascii="仿宋" w:hAnsi="仿宋" w:eastAsia="仿宋"/>
                <w:color w:val="000000"/>
                <w:szCs w:val="21"/>
              </w:rPr>
            </w:pPr>
            <w:r>
              <w:rPr>
                <w:rFonts w:hint="eastAsia" w:ascii="仿宋" w:hAnsi="仿宋" w:eastAsia="仿宋"/>
                <w:color w:val="000000"/>
                <w:szCs w:val="21"/>
              </w:rPr>
              <w:t>7.93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金融</w:t>
            </w:r>
          </w:p>
        </w:tc>
      </w:tr>
    </w:tbl>
    <w:p>
      <w:pPr>
        <w:spacing w:before="156" w:beforeLines="50" w:after="156" w:afterLines="50"/>
        <w:ind w:firstLine="562" w:firstLineChars="20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8月重大事项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11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2023-08-29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濮阳惠成电子材料股份有限公司近期购买了理财。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2023-08-29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300829.SZ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金丹科技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于2023年8月28日召开第五届董事会第五次会议和第五届监事会第五次会议，分别审议通过了&lt;&lt;关于使用闲置募集资金进行现金管理的议案&gt;&gt;，同意公司在确保不影响正常运营和资金安全的前提下，使用闲置募集资金不超过人民币4.5亿元（含本数）进行现金管理，用于购买投资期限不超过12个月的安全性高、流动性好的投资产品，投资产品不得进行质押，上述资金额度自董事会审议通过之日起12个月内可以循环滚动使用。本事项不构成关联交易，不存在变相改变募集资金用途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2023-08-28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河南凯旺电子科技股份有限公司近期购买了理财。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2023-08-23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省交通规划设计研究院股份有限公司（以下简称“本公司”或“公司”）为提高公司资金使用效率，于2023年3月20日召开第三届董事会第十一次会议，审议通过了&lt;&lt;关于使用部分闲置自有资金进行现金管理的议案&gt;&gt;,同意公司使用暂时闲置自有资金进行现金管理,购买安全性高、流动性好、风险可控、稳健型的理财产品,滚动额度不超过人民币6亿元。公司董事会、监事会、独立董事对上述议案均发表了明确的同意意见。具体内容详见公司于2023年3月21日在巨潮资讯网发布的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2023-08-22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拓新药业集团股份有限公司（以下简称“公司”）于2022年11月9日召开第四届董事会第十八次会议和第四届监事会第十三次会议，审议通过了&lt;&lt;关于使用部分闲置募集资金进行现金管理的议案&gt;&gt;，同意在确保公司募投项目所需资金和保证募集资金安全及公司正常生产经营活动的前提下，公司可以使用金额不超过人民币22,000万元的暂时闲置募集资金购买安全性高、流动性好、有保本约定且投资期限最长不超过12个月的投资产品（包括但不限于保本型理财产品、结构性存款、协定存款、通知存款、定期存款、大额存单等）,自公司董事会审议通过之日起12个月内有效，在上述额度内的资金可在投资有效期内循环滚动使用，暂时闲置募集资金现金管理到期后将及时归还至募集资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2023-08-18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2023-08-14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2023-08-12</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8月11日公司与中国民生银行郑州分行签订了&lt;&lt;中国民生银行结构性存款产品合同（机构版）&gt;&gt;，公司使用暂时闲置募集资金人民币10,000万元用于购买民生银行聚赢利率-挂钩中债10年期国债到期收益率结构性存款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濮阳惠成电子材料股份有限公司（以下简称“公司”）2023年4月28日召开了2022年年度股东大会，审议通过了&lt;&lt;关于使用暂时闲置募集资金和自有资金进行现金管理的议案&gt;&gt;，同意公司及子公司使用暂时闲置募集资金不超过人民币4亿元、暂时闲置自有资金不超过人民币9亿元进行现金管理，在额度范围内，资金可以滚动使用。使用期限为自公司股东大会审议通过之日起不超过12个月（含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继续使用暂时闲置募集资金购买结构性存款&amp;使用闲置自有资金购买结构性存款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301376.SZ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致欧科技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致欧家居科技股份有限公司（以下简称“公司”）于2023年7月6日召开第一届董事会第二十四次会议及第一届监事会第十三次会议，审议通过了&lt;&lt;关于使用闲置募集资金和自有资金进行现金管理的议案&gt;&gt;，同意公司使用额度不超过6亿元的闲置募集资金和额度不超过3亿元的自有资金进行现金管理。使用期限自董事会审议通过之日起12个月内有效。具体内容详见公司于2023年7月6日在巨潮资讯网（http://www.cninfo.com.cn）披露的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乡天力锂能股份有限公司（以下简称“公司”或“天力锂能”）于2022年9月13日召开了第三届董事会第十二次会议、第三届监事会第七次会议，审议通过了&lt;&lt;关于使用部分超募资金及闲置募集资金进行现金管理的议案&gt;&gt;，同意在确保不影响募集资金投资项目建设和公司正常生产经营的前提下，拟使用不超过人民币8亿元超募资金及闲置募集资金进行现金管理，使用期限自董事会审议通过之日起12个月内有效，在上述额度和期限内，资金可循环滚动使用。该事项已经公司2022年第四次临时股东大会审议通过。详见公司于2022年9月15日在巨潮资讯网披露的&lt;&lt;关于使用部分超募资金及闲置募集资金进行现金管理的公告&gt;&gt;（公告编号：2022-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300007.SZ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汉威科技</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近期，公司及子公司使用部分闲置募集资金及自有资金进行现金管理，购买了理财。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2023-08-01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68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濮阳惠成新材料产业技术研究院有限公司近期购买了理财。</w:t>
            </w:r>
          </w:p>
        </w:tc>
      </w:tr>
    </w:tbl>
    <w:p>
      <w:pPr>
        <w:spacing w:after="156" w:afterLines="50"/>
        <w:ind w:firstLine="482" w:firstLineChars="200"/>
        <w:jc w:val="center"/>
        <w:rPr>
          <w:rFonts w:ascii="仿宋" w:hAnsi="仿宋" w:eastAsia="仿宋" w:cs="仿宋"/>
          <w:b/>
          <w:sz w:val="28"/>
          <w:szCs w:val="28"/>
        </w:rPr>
      </w:pPr>
      <w:r>
        <w:rPr>
          <w:rFonts w:hint="eastAsia" w:ascii="仿宋" w:hAnsi="仿宋" w:eastAsia="仿宋" w:cs="仿宋"/>
          <w:b/>
          <w:sz w:val="24"/>
        </w:rPr>
        <w:t>表4　再融资实施完成事项</w:t>
      </w:r>
    </w:p>
    <w:tbl>
      <w:tblPr>
        <w:tblStyle w:val="9"/>
        <w:tblW w:w="8533" w:type="dxa"/>
        <w:jc w:val="center"/>
        <w:tblLayout w:type="fixed"/>
        <w:tblCellMar>
          <w:top w:w="0" w:type="dxa"/>
          <w:left w:w="108" w:type="dxa"/>
          <w:bottom w:w="0" w:type="dxa"/>
          <w:right w:w="108" w:type="dxa"/>
        </w:tblCellMar>
      </w:tblPr>
      <w:tblGrid>
        <w:gridCol w:w="661"/>
        <w:gridCol w:w="1198"/>
        <w:gridCol w:w="1197"/>
        <w:gridCol w:w="1328"/>
        <w:gridCol w:w="1328"/>
        <w:gridCol w:w="1095"/>
        <w:gridCol w:w="1726"/>
      </w:tblGrid>
      <w:tr>
        <w:tblPrEx>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证券代码</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发行日期</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上市日期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事项类型</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发行规模(亿元)</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002407.SZ</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多氟多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2023-08-07</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2023-08-31</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增发</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20.00</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601677.SH</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明泰铝业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2023-07-27</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2023-08-16</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增发</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12.80</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3</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605368.SH</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蓝天燃气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2023-08-15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021-01-29</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可转债</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8.70</w:t>
            </w:r>
          </w:p>
        </w:tc>
      </w:tr>
    </w:tbl>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10893" w:type="dxa"/>
        <w:jc w:val="center"/>
        <w:tblLayout w:type="fixed"/>
        <w:tblCellMar>
          <w:top w:w="0" w:type="dxa"/>
          <w:left w:w="108" w:type="dxa"/>
          <w:bottom w:w="0" w:type="dxa"/>
          <w:right w:w="108" w:type="dxa"/>
        </w:tblCellMar>
      </w:tblPr>
      <w:tblGrid>
        <w:gridCol w:w="773"/>
        <w:gridCol w:w="1363"/>
        <w:gridCol w:w="1363"/>
        <w:gridCol w:w="1177"/>
        <w:gridCol w:w="1081"/>
        <w:gridCol w:w="1081"/>
        <w:gridCol w:w="1081"/>
        <w:gridCol w:w="1369"/>
        <w:gridCol w:w="1605"/>
      </w:tblGrid>
      <w:tr>
        <w:tblPrEx>
          <w:tblCellMar>
            <w:top w:w="0" w:type="dxa"/>
            <w:left w:w="108" w:type="dxa"/>
            <w:bottom w:w="0" w:type="dxa"/>
            <w:right w:w="108" w:type="dxa"/>
          </w:tblCellMar>
        </w:tblPrEx>
        <w:trPr>
          <w:trHeight w:val="27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16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2023-08-23</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2023-08-23</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300013.SZ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新宁物流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补充流动资金</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4.19</w:t>
            </w:r>
          </w:p>
        </w:tc>
      </w:tr>
    </w:tbl>
    <w:p>
      <w:pPr>
        <w:spacing w:before="156" w:beforeLines="50" w:after="156" w:afterLines="50"/>
        <w:jc w:val="center"/>
        <w:rPr>
          <w:rFonts w:ascii="仿宋" w:hAnsi="仿宋" w:eastAsia="仿宋"/>
          <w:b/>
          <w:sz w:val="24"/>
        </w:rPr>
      </w:pPr>
      <w:r>
        <w:rPr>
          <w:rFonts w:ascii="仿宋" w:hAnsi="仿宋" w:eastAsia="仿宋"/>
          <w:b/>
          <w:sz w:val="24"/>
        </w:rPr>
        <w:t>表6　上市公司重大资产重组事项</w:t>
      </w:r>
    </w:p>
    <w:tbl>
      <w:tblPr>
        <w:tblStyle w:val="9"/>
        <w:tblW w:w="10696" w:type="dxa"/>
        <w:jc w:val="center"/>
        <w:tblLayout w:type="fixed"/>
        <w:tblCellMar>
          <w:top w:w="0" w:type="dxa"/>
          <w:left w:w="108" w:type="dxa"/>
          <w:bottom w:w="0" w:type="dxa"/>
          <w:right w:w="108" w:type="dxa"/>
        </w:tblCellMar>
      </w:tblPr>
      <w:tblGrid>
        <w:gridCol w:w="818"/>
        <w:gridCol w:w="1341"/>
        <w:gridCol w:w="1227"/>
        <w:gridCol w:w="1347"/>
        <w:gridCol w:w="1347"/>
        <w:gridCol w:w="1347"/>
        <w:gridCol w:w="1446"/>
        <w:gridCol w:w="1823"/>
      </w:tblGrid>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82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300007.SZ</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汉威科技</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2023-08-21</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2023-02-21</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出让方</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董事会预案</w:t>
            </w:r>
          </w:p>
        </w:tc>
        <w:tc>
          <w:tcPr>
            <w:tcW w:w="182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汉威科技出售汉威智源65%股权。</w:t>
            </w:r>
          </w:p>
        </w:tc>
      </w:tr>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2023-08-17</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证监会受理</w:t>
            </w:r>
          </w:p>
        </w:tc>
        <w:tc>
          <w:tcPr>
            <w:tcW w:w="182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3.业绩与分红</w:t>
      </w:r>
    </w:p>
    <w:p>
      <w:pPr>
        <w:spacing w:before="312" w:beforeLines="100" w:after="156" w:afterLines="50"/>
        <w:ind w:firstLine="560" w:firstLineChars="200"/>
        <w:rPr>
          <w:rFonts w:hint="eastAsia" w:ascii="仿宋" w:hAnsi="仿宋" w:eastAsia="仿宋"/>
          <w:sz w:val="28"/>
        </w:rPr>
      </w:pPr>
      <w:r>
        <w:rPr>
          <w:rFonts w:ascii="仿宋" w:hAnsi="仿宋" w:eastAsia="仿宋"/>
          <w:sz w:val="28"/>
        </w:rPr>
        <w:t>本月辖区内披露业绩预告/快报</w:t>
      </w:r>
      <w:r>
        <w:rPr>
          <w:rFonts w:hint="eastAsia" w:ascii="仿宋" w:hAnsi="仿宋" w:eastAsia="仿宋"/>
          <w:sz w:val="28"/>
        </w:rPr>
        <w:t>的上市公司共1</w:t>
      </w:r>
      <w:r>
        <w:rPr>
          <w:rFonts w:ascii="仿宋" w:hAnsi="仿宋" w:eastAsia="仿宋"/>
          <w:sz w:val="28"/>
        </w:rPr>
        <w:t>家，其中，</w:t>
      </w:r>
      <w:r>
        <w:rPr>
          <w:rFonts w:hint="eastAsia" w:ascii="仿宋" w:hAnsi="仿宋" w:eastAsia="仿宋"/>
          <w:sz w:val="28"/>
        </w:rPr>
        <w:t>1家上市公司披露业绩快报：1家业绩预盈。</w:t>
      </w:r>
    </w:p>
    <w:p>
      <w:pPr>
        <w:spacing w:before="156" w:beforeLines="50" w:after="156" w:afterLines="50"/>
        <w:jc w:val="center"/>
        <w:rPr>
          <w:rFonts w:ascii="仿宋" w:hAnsi="仿宋" w:eastAsia="仿宋"/>
          <w:b/>
          <w:sz w:val="24"/>
        </w:rPr>
      </w:pPr>
      <w:r>
        <w:rPr>
          <w:rFonts w:ascii="仿宋" w:hAnsi="仿宋" w:eastAsia="仿宋"/>
          <w:b/>
          <w:sz w:val="24"/>
        </w:rPr>
        <w:t>表7　分红送转事项</w:t>
      </w:r>
    </w:p>
    <w:tbl>
      <w:tblPr>
        <w:tblStyle w:val="9"/>
        <w:tblW w:w="8572" w:type="dxa"/>
        <w:jc w:val="center"/>
        <w:tblLayout w:type="fixed"/>
        <w:tblCellMar>
          <w:top w:w="0" w:type="dxa"/>
          <w:left w:w="108" w:type="dxa"/>
          <w:bottom w:w="0" w:type="dxa"/>
          <w:right w:w="108" w:type="dxa"/>
        </w:tblCellMar>
      </w:tblPr>
      <w:tblGrid>
        <w:gridCol w:w="710"/>
        <w:gridCol w:w="1275"/>
        <w:gridCol w:w="1208"/>
        <w:gridCol w:w="1290"/>
        <w:gridCol w:w="4089"/>
      </w:tblGrid>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2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4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ascii="仿宋" w:hAnsi="仿宋" w:eastAsia="仿宋" w:cs="宋体"/>
                <w:b/>
                <w:color w:val="000000"/>
                <w:kern w:val="0"/>
                <w:szCs w:val="21"/>
              </w:rPr>
              <w:t>方案说明</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2023-08-15</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002132.SZ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恒星科技</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2</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2023-08-12</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600020.SH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中原高速</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3</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000719.SZ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中原传媒</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4</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2023-08-11</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603508.SH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思维列控</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5</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6</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2023-08-10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600285.SH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羚锐制药</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7</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2023-08-08</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8</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2023-08-07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688626.SH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翔宇医疗</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bl>
    <w:p>
      <w:pPr>
        <w:spacing w:before="156" w:beforeLines="50" w:after="156" w:afterLines="50"/>
        <w:jc w:val="center"/>
        <w:rPr>
          <w:rFonts w:ascii="仿宋" w:hAnsi="仿宋" w:eastAsia="仿宋"/>
          <w:b/>
          <w:sz w:val="24"/>
        </w:rPr>
      </w:pPr>
      <w:r>
        <w:rPr>
          <w:rFonts w:ascii="仿宋" w:hAnsi="仿宋" w:eastAsia="仿宋"/>
          <w:b/>
          <w:sz w:val="24"/>
        </w:rPr>
        <w:t>表8　业绩预告/快报事项</w:t>
      </w:r>
    </w:p>
    <w:tbl>
      <w:tblPr>
        <w:tblStyle w:val="10"/>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4517"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2023-08-03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600066.SH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宇通客车</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业绩快报</w:t>
            </w:r>
          </w:p>
        </w:tc>
        <w:tc>
          <w:tcPr>
            <w:tcW w:w="4517" w:type="dxa"/>
            <w:vAlign w:val="center"/>
          </w:tcPr>
          <w:p>
            <w:pPr>
              <w:rPr>
                <w:rFonts w:ascii="仿宋" w:hAnsi="仿宋" w:eastAsia="仿宋"/>
                <w:color w:val="000000"/>
                <w:kern w:val="0"/>
                <w:szCs w:val="21"/>
              </w:rPr>
            </w:pPr>
            <w:r>
              <w:rPr>
                <w:rFonts w:hint="eastAsia" w:ascii="仿宋" w:hAnsi="仿宋" w:eastAsia="仿宋"/>
                <w:color w:val="000000"/>
                <w:kern w:val="0"/>
                <w:szCs w:val="21"/>
              </w:rPr>
              <w:t>公司已于2023-08-03披露2023年中报业绩快报： 营业总收入111.14亿元，同比去年34.56%，净利润为4.7亿元， 基本EPS为0.21元 。</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ind w:firstLine="482" w:firstLineChars="200"/>
        <w:jc w:val="center"/>
        <w:rPr>
          <w:rFonts w:ascii="仿宋" w:hAnsi="仿宋" w:eastAsia="仿宋"/>
          <w:b/>
          <w:sz w:val="24"/>
          <w:szCs w:val="30"/>
        </w:rPr>
      </w:pPr>
      <w:r>
        <w:rPr>
          <w:rFonts w:ascii="仿宋" w:hAnsi="仿宋" w:eastAsia="仿宋"/>
          <w:b/>
          <w:sz w:val="24"/>
          <w:szCs w:val="30"/>
        </w:rPr>
        <w:t>表9　股东增/减持公司股票事项</w:t>
      </w:r>
    </w:p>
    <w:tbl>
      <w:tblPr>
        <w:tblStyle w:val="9"/>
        <w:tblW w:w="10484" w:type="dxa"/>
        <w:jc w:val="center"/>
        <w:tblLayout w:type="fixed"/>
        <w:tblCellMar>
          <w:top w:w="0" w:type="dxa"/>
          <w:left w:w="108" w:type="dxa"/>
          <w:bottom w:w="0" w:type="dxa"/>
          <w:right w:w="108" w:type="dxa"/>
        </w:tblCellMar>
      </w:tblPr>
      <w:tblGrid>
        <w:gridCol w:w="796"/>
        <w:gridCol w:w="1266"/>
        <w:gridCol w:w="1281"/>
        <w:gridCol w:w="1134"/>
        <w:gridCol w:w="1559"/>
        <w:gridCol w:w="4448"/>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444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2023-08-17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601717.SH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郑煤机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4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公司财务总监黄花女士的父亲黄健超先生的证券账户存在短线交易公司股票。</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2022-12-08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601717.SH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郑煤机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4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2022-12-08，黄健超增持0.01万股公司股份，平均增持价格为12.48CNY</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2023-08-08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834415.BJ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恒拓开源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4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2023-08-08，北京盈辉互联科技有限公司减持139万股公司股份：其中通过大宗交易系统减持139万股公司股份，平均减持价格为3.94CNY。截止2023-08-10，持有股份数量为2146.44万股，占流通股份总数比例为15.57%。</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2023-08-03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600222.SH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太龙药业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4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2023-08-03，吴澜减持200万股公司股份，平均减持价格为5.71CNY。截止2023-08-08，持有股份数量为2669.43万股，占流通股份总数比例为4.65%。</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2023-02-07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601717.SH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郑煤机</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448"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2023-02-07，黄健超减持0.01万股公司股份，平均减持价格为13.34CNY</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表10　8月董事长、董秘变动情况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276"/>
        <w:gridCol w:w="1134"/>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701"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134"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002423.SZ</w:t>
            </w:r>
          </w:p>
        </w:tc>
        <w:tc>
          <w:tcPr>
            <w:tcW w:w="1134" w:type="dxa"/>
            <w:vAlign w:val="center"/>
          </w:tcPr>
          <w:p>
            <w:pPr>
              <w:jc w:val="center"/>
              <w:rPr>
                <w:rFonts w:ascii="仿宋" w:hAnsi="仿宋" w:eastAsia="仿宋"/>
                <w:szCs w:val="21"/>
              </w:rPr>
            </w:pPr>
            <w:r>
              <w:rPr>
                <w:rFonts w:hint="eastAsia" w:ascii="仿宋" w:hAnsi="仿宋" w:eastAsia="仿宋"/>
                <w:szCs w:val="21"/>
              </w:rPr>
              <w:t>中粮资本</w:t>
            </w:r>
          </w:p>
        </w:tc>
        <w:tc>
          <w:tcPr>
            <w:tcW w:w="3723" w:type="dxa"/>
            <w:vAlign w:val="center"/>
          </w:tcPr>
          <w:p>
            <w:pPr>
              <w:jc w:val="center"/>
              <w:rPr>
                <w:rFonts w:ascii="仿宋" w:hAnsi="仿宋" w:eastAsia="仿宋"/>
                <w:szCs w:val="21"/>
              </w:rPr>
            </w:pPr>
            <w:r>
              <w:rPr>
                <w:rFonts w:hint="eastAsia" w:ascii="仿宋" w:hAnsi="仿宋" w:eastAsia="仿宋"/>
                <w:szCs w:val="21"/>
              </w:rPr>
              <w:t>董事会秘书蹇侠离任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002423.SZ</w:t>
            </w:r>
          </w:p>
        </w:tc>
        <w:tc>
          <w:tcPr>
            <w:tcW w:w="1134" w:type="dxa"/>
            <w:vAlign w:val="center"/>
          </w:tcPr>
          <w:p>
            <w:pPr>
              <w:jc w:val="center"/>
              <w:rPr>
                <w:rFonts w:ascii="仿宋" w:hAnsi="仿宋" w:eastAsia="仿宋"/>
                <w:szCs w:val="21"/>
              </w:rPr>
            </w:pPr>
            <w:r>
              <w:rPr>
                <w:rFonts w:hint="eastAsia" w:ascii="仿宋" w:hAnsi="仿宋" w:eastAsia="仿宋"/>
                <w:szCs w:val="21"/>
              </w:rPr>
              <w:t>中粮资本</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新聘董事会秘书姜正华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2</w:t>
            </w: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301071.SZ</w:t>
            </w:r>
          </w:p>
        </w:tc>
        <w:tc>
          <w:tcPr>
            <w:tcW w:w="1134" w:type="dxa"/>
            <w:vAlign w:val="center"/>
          </w:tcPr>
          <w:p>
            <w:pPr>
              <w:jc w:val="center"/>
              <w:rPr>
                <w:rFonts w:ascii="仿宋" w:hAnsi="仿宋" w:eastAsia="仿宋"/>
                <w:szCs w:val="21"/>
              </w:rPr>
            </w:pPr>
            <w:r>
              <w:rPr>
                <w:rFonts w:hint="eastAsia" w:ascii="仿宋" w:hAnsi="仿宋" w:eastAsia="仿宋"/>
                <w:szCs w:val="21"/>
              </w:rPr>
              <w:t>力量钻石</w:t>
            </w:r>
          </w:p>
        </w:tc>
        <w:tc>
          <w:tcPr>
            <w:tcW w:w="3723" w:type="dxa"/>
            <w:vAlign w:val="center"/>
          </w:tcPr>
          <w:p>
            <w:pPr>
              <w:jc w:val="center"/>
              <w:rPr>
                <w:rFonts w:ascii="仿宋" w:hAnsi="仿宋" w:eastAsia="仿宋"/>
                <w:szCs w:val="21"/>
              </w:rPr>
            </w:pPr>
            <w:r>
              <w:rPr>
                <w:rFonts w:hint="eastAsia" w:ascii="仿宋" w:hAnsi="仿宋" w:eastAsia="仿宋"/>
                <w:szCs w:val="21"/>
              </w:rPr>
              <w:t xml:space="preserve">新聘董事会秘书史地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301071.SZ</w:t>
            </w:r>
          </w:p>
        </w:tc>
        <w:tc>
          <w:tcPr>
            <w:tcW w:w="1134" w:type="dxa"/>
            <w:vAlign w:val="center"/>
          </w:tcPr>
          <w:p>
            <w:pPr>
              <w:jc w:val="center"/>
              <w:rPr>
                <w:rFonts w:ascii="仿宋" w:hAnsi="仿宋" w:eastAsia="仿宋"/>
                <w:szCs w:val="21"/>
              </w:rPr>
            </w:pPr>
            <w:r>
              <w:rPr>
                <w:rFonts w:hint="eastAsia" w:ascii="仿宋" w:hAnsi="仿宋" w:eastAsia="仿宋"/>
                <w:szCs w:val="21"/>
              </w:rPr>
              <w:t>力量钻石</w:t>
            </w:r>
          </w:p>
        </w:tc>
        <w:tc>
          <w:tcPr>
            <w:tcW w:w="3723" w:type="dxa"/>
            <w:vAlign w:val="center"/>
          </w:tcPr>
          <w:p>
            <w:pPr>
              <w:jc w:val="center"/>
              <w:rPr>
                <w:rFonts w:ascii="仿宋" w:hAnsi="仿宋" w:eastAsia="仿宋"/>
                <w:szCs w:val="21"/>
              </w:rPr>
            </w:pPr>
            <w:r>
              <w:rPr>
                <w:rFonts w:hint="eastAsia" w:ascii="仿宋" w:hAnsi="仿宋" w:eastAsia="仿宋"/>
                <w:szCs w:val="21"/>
              </w:rPr>
              <w:t xml:space="preserve">代董事会秘书邵增明离任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3</w:t>
            </w: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603508.SH</w:t>
            </w:r>
          </w:p>
        </w:tc>
        <w:tc>
          <w:tcPr>
            <w:tcW w:w="1134" w:type="dxa"/>
            <w:vAlign w:val="center"/>
          </w:tcPr>
          <w:p>
            <w:pPr>
              <w:jc w:val="center"/>
              <w:rPr>
                <w:rFonts w:ascii="仿宋" w:hAnsi="仿宋" w:eastAsia="仿宋"/>
                <w:szCs w:val="21"/>
              </w:rPr>
            </w:pPr>
            <w:r>
              <w:rPr>
                <w:rFonts w:hint="eastAsia" w:ascii="仿宋" w:hAnsi="仿宋" w:eastAsia="仿宋"/>
                <w:szCs w:val="21"/>
              </w:rPr>
              <w:t>思维列控</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新聘董事会秘书骆开尚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2023-08-28</w:t>
            </w:r>
          </w:p>
        </w:tc>
        <w:tc>
          <w:tcPr>
            <w:tcW w:w="1276" w:type="dxa"/>
            <w:vAlign w:val="center"/>
          </w:tcPr>
          <w:p>
            <w:pPr>
              <w:jc w:val="center"/>
              <w:rPr>
                <w:rFonts w:ascii="仿宋" w:hAnsi="仿宋" w:eastAsia="仿宋"/>
                <w:szCs w:val="21"/>
              </w:rPr>
            </w:pPr>
            <w:r>
              <w:rPr>
                <w:rFonts w:hint="eastAsia" w:ascii="仿宋" w:hAnsi="仿宋" w:eastAsia="仿宋"/>
                <w:szCs w:val="21"/>
              </w:rPr>
              <w:t>603508.SH</w:t>
            </w:r>
          </w:p>
        </w:tc>
        <w:tc>
          <w:tcPr>
            <w:tcW w:w="1134" w:type="dxa"/>
            <w:vAlign w:val="center"/>
          </w:tcPr>
          <w:p>
            <w:pPr>
              <w:jc w:val="center"/>
              <w:rPr>
                <w:rFonts w:ascii="仿宋" w:hAnsi="仿宋" w:eastAsia="仿宋"/>
                <w:szCs w:val="21"/>
              </w:rPr>
            </w:pPr>
            <w:r>
              <w:rPr>
                <w:rFonts w:hint="eastAsia" w:ascii="仿宋" w:hAnsi="仿宋" w:eastAsia="仿宋"/>
                <w:szCs w:val="21"/>
              </w:rPr>
              <w:t>思维列控</w:t>
            </w:r>
          </w:p>
        </w:tc>
        <w:tc>
          <w:tcPr>
            <w:tcW w:w="3723" w:type="dxa"/>
            <w:vAlign w:val="center"/>
          </w:tcPr>
          <w:p>
            <w:pPr>
              <w:jc w:val="center"/>
              <w:rPr>
                <w:rFonts w:ascii="仿宋" w:hAnsi="仿宋" w:eastAsia="仿宋"/>
                <w:szCs w:val="21"/>
              </w:rPr>
            </w:pPr>
            <w:r>
              <w:rPr>
                <w:rFonts w:hint="eastAsia" w:ascii="仿宋" w:hAnsi="仿宋" w:eastAsia="仿宋"/>
                <w:szCs w:val="21"/>
              </w:rPr>
              <w:t>董事会秘书苏站站离任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4</w:t>
            </w:r>
          </w:p>
        </w:tc>
        <w:tc>
          <w:tcPr>
            <w:tcW w:w="1701" w:type="dxa"/>
            <w:vAlign w:val="center"/>
          </w:tcPr>
          <w:p>
            <w:pPr>
              <w:jc w:val="center"/>
              <w:rPr>
                <w:rFonts w:ascii="仿宋" w:hAnsi="仿宋" w:eastAsia="仿宋"/>
                <w:szCs w:val="21"/>
              </w:rPr>
            </w:pPr>
            <w:r>
              <w:rPr>
                <w:rFonts w:hint="eastAsia" w:ascii="仿宋" w:hAnsi="仿宋" w:eastAsia="仿宋"/>
                <w:szCs w:val="21"/>
              </w:rPr>
              <w:t>2023-08-21</w:t>
            </w:r>
          </w:p>
        </w:tc>
        <w:tc>
          <w:tcPr>
            <w:tcW w:w="1276" w:type="dxa"/>
            <w:vAlign w:val="center"/>
          </w:tcPr>
          <w:p>
            <w:pPr>
              <w:jc w:val="center"/>
              <w:rPr>
                <w:rFonts w:ascii="仿宋" w:hAnsi="仿宋" w:eastAsia="仿宋"/>
                <w:szCs w:val="21"/>
              </w:rPr>
            </w:pPr>
            <w:r>
              <w:rPr>
                <w:rFonts w:hint="eastAsia" w:ascii="仿宋" w:hAnsi="仿宋" w:eastAsia="仿宋"/>
                <w:szCs w:val="21"/>
              </w:rPr>
              <w:t>002216.SZ</w:t>
            </w:r>
          </w:p>
        </w:tc>
        <w:tc>
          <w:tcPr>
            <w:tcW w:w="1134" w:type="dxa"/>
            <w:vAlign w:val="center"/>
          </w:tcPr>
          <w:p>
            <w:pPr>
              <w:jc w:val="center"/>
              <w:rPr>
                <w:rFonts w:ascii="仿宋" w:hAnsi="仿宋" w:eastAsia="仿宋"/>
                <w:szCs w:val="21"/>
              </w:rPr>
            </w:pPr>
            <w:r>
              <w:rPr>
                <w:rFonts w:hint="eastAsia" w:ascii="仿宋" w:hAnsi="仿宋" w:eastAsia="仿宋"/>
                <w:szCs w:val="21"/>
              </w:rPr>
              <w:t>三全食品</w:t>
            </w:r>
          </w:p>
        </w:tc>
        <w:tc>
          <w:tcPr>
            <w:tcW w:w="3723" w:type="dxa"/>
            <w:vAlign w:val="center"/>
          </w:tcPr>
          <w:p>
            <w:pPr>
              <w:jc w:val="center"/>
              <w:rPr>
                <w:rFonts w:ascii="仿宋" w:hAnsi="仿宋" w:eastAsia="仿宋"/>
                <w:szCs w:val="21"/>
              </w:rPr>
            </w:pPr>
            <w:r>
              <w:rPr>
                <w:rFonts w:hint="eastAsia" w:ascii="仿宋" w:hAnsi="仿宋" w:eastAsia="仿宋"/>
                <w:szCs w:val="21"/>
              </w:rPr>
              <w:t>董事会秘书李鸿凯离任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2023-08-21</w:t>
            </w:r>
          </w:p>
        </w:tc>
        <w:tc>
          <w:tcPr>
            <w:tcW w:w="1276" w:type="dxa"/>
            <w:vAlign w:val="center"/>
          </w:tcPr>
          <w:p>
            <w:pPr>
              <w:jc w:val="center"/>
              <w:rPr>
                <w:rFonts w:ascii="仿宋" w:hAnsi="仿宋" w:eastAsia="仿宋"/>
                <w:szCs w:val="21"/>
              </w:rPr>
            </w:pPr>
            <w:r>
              <w:rPr>
                <w:rFonts w:hint="eastAsia" w:ascii="仿宋" w:hAnsi="仿宋" w:eastAsia="仿宋"/>
                <w:szCs w:val="21"/>
              </w:rPr>
              <w:t>002216.SZ</w:t>
            </w:r>
          </w:p>
        </w:tc>
        <w:tc>
          <w:tcPr>
            <w:tcW w:w="1134" w:type="dxa"/>
            <w:vAlign w:val="center"/>
          </w:tcPr>
          <w:p>
            <w:pPr>
              <w:jc w:val="center"/>
              <w:rPr>
                <w:rFonts w:ascii="仿宋" w:hAnsi="仿宋" w:eastAsia="仿宋"/>
                <w:szCs w:val="21"/>
              </w:rPr>
            </w:pPr>
            <w:r>
              <w:rPr>
                <w:rFonts w:hint="eastAsia" w:ascii="仿宋" w:hAnsi="仿宋" w:eastAsia="仿宋"/>
                <w:szCs w:val="21"/>
              </w:rPr>
              <w:t>三全食品</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新聘董事会秘书刘铮铮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5</w:t>
            </w:r>
          </w:p>
        </w:tc>
        <w:tc>
          <w:tcPr>
            <w:tcW w:w="1701" w:type="dxa"/>
            <w:vAlign w:val="center"/>
          </w:tcPr>
          <w:p>
            <w:pPr>
              <w:jc w:val="center"/>
              <w:rPr>
                <w:rFonts w:ascii="仿宋" w:hAnsi="仿宋" w:eastAsia="仿宋"/>
                <w:szCs w:val="21"/>
              </w:rPr>
            </w:pPr>
            <w:r>
              <w:rPr>
                <w:rFonts w:hint="eastAsia" w:ascii="仿宋" w:hAnsi="仿宋" w:eastAsia="仿宋"/>
                <w:szCs w:val="21"/>
              </w:rPr>
              <w:t>2023-08-08</w:t>
            </w:r>
          </w:p>
        </w:tc>
        <w:tc>
          <w:tcPr>
            <w:tcW w:w="1276" w:type="dxa"/>
            <w:vAlign w:val="center"/>
          </w:tcPr>
          <w:p>
            <w:pPr>
              <w:jc w:val="center"/>
              <w:rPr>
                <w:rFonts w:ascii="仿宋" w:hAnsi="仿宋" w:eastAsia="仿宋"/>
                <w:szCs w:val="21"/>
              </w:rPr>
            </w:pPr>
            <w:r>
              <w:rPr>
                <w:rFonts w:hint="eastAsia" w:ascii="仿宋" w:hAnsi="仿宋" w:eastAsia="仿宋"/>
                <w:szCs w:val="21"/>
              </w:rPr>
              <w:t>872895.BJ</w:t>
            </w:r>
          </w:p>
        </w:tc>
        <w:tc>
          <w:tcPr>
            <w:tcW w:w="1134" w:type="dxa"/>
            <w:vAlign w:val="center"/>
          </w:tcPr>
          <w:p>
            <w:pPr>
              <w:jc w:val="center"/>
              <w:rPr>
                <w:rFonts w:ascii="仿宋" w:hAnsi="仿宋" w:eastAsia="仿宋"/>
                <w:szCs w:val="21"/>
              </w:rPr>
            </w:pPr>
            <w:r>
              <w:rPr>
                <w:rFonts w:hint="eastAsia" w:ascii="仿宋" w:hAnsi="仿宋" w:eastAsia="仿宋"/>
                <w:szCs w:val="21"/>
              </w:rPr>
              <w:t>花溪科技</w:t>
            </w:r>
          </w:p>
        </w:tc>
        <w:tc>
          <w:tcPr>
            <w:tcW w:w="3723" w:type="dxa"/>
            <w:vAlign w:val="center"/>
          </w:tcPr>
          <w:p>
            <w:pPr>
              <w:jc w:val="center"/>
              <w:rPr>
                <w:rFonts w:ascii="仿宋" w:hAnsi="仿宋" w:eastAsia="仿宋"/>
                <w:szCs w:val="21"/>
              </w:rPr>
            </w:pPr>
            <w:r>
              <w:rPr>
                <w:rFonts w:hint="eastAsia" w:ascii="仿宋" w:hAnsi="仿宋" w:eastAsia="仿宋"/>
                <w:szCs w:val="21"/>
              </w:rPr>
              <w:t>董事会秘书张利萍离任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2023-08-08</w:t>
            </w:r>
          </w:p>
        </w:tc>
        <w:tc>
          <w:tcPr>
            <w:tcW w:w="1276" w:type="dxa"/>
            <w:vAlign w:val="center"/>
          </w:tcPr>
          <w:p>
            <w:pPr>
              <w:jc w:val="center"/>
              <w:rPr>
                <w:rFonts w:ascii="仿宋" w:hAnsi="仿宋" w:eastAsia="仿宋"/>
                <w:szCs w:val="21"/>
              </w:rPr>
            </w:pPr>
            <w:r>
              <w:rPr>
                <w:rFonts w:hint="eastAsia" w:ascii="仿宋" w:hAnsi="仿宋" w:eastAsia="仿宋"/>
                <w:szCs w:val="21"/>
              </w:rPr>
              <w:t>872895.BJ</w:t>
            </w:r>
          </w:p>
        </w:tc>
        <w:tc>
          <w:tcPr>
            <w:tcW w:w="1134" w:type="dxa"/>
            <w:vAlign w:val="center"/>
          </w:tcPr>
          <w:p>
            <w:pPr>
              <w:jc w:val="center"/>
              <w:rPr>
                <w:rFonts w:ascii="仿宋" w:hAnsi="仿宋" w:eastAsia="仿宋"/>
                <w:szCs w:val="21"/>
              </w:rPr>
            </w:pPr>
            <w:r>
              <w:rPr>
                <w:rFonts w:hint="eastAsia" w:ascii="仿宋" w:hAnsi="仿宋" w:eastAsia="仿宋"/>
                <w:szCs w:val="21"/>
              </w:rPr>
              <w:t>花溪科技</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新聘董事会秘书史守义</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表11　重大项目情况表</w:t>
      </w:r>
    </w:p>
    <w:tbl>
      <w:tblPr>
        <w:tblStyle w:val="9"/>
        <w:tblW w:w="10957" w:type="dxa"/>
        <w:jc w:val="center"/>
        <w:tblLayout w:type="fixed"/>
        <w:tblCellMar>
          <w:top w:w="0" w:type="dxa"/>
          <w:left w:w="108" w:type="dxa"/>
          <w:bottom w:w="0" w:type="dxa"/>
          <w:right w:w="108" w:type="dxa"/>
        </w:tblCellMar>
      </w:tblPr>
      <w:tblGrid>
        <w:gridCol w:w="709"/>
        <w:gridCol w:w="1163"/>
        <w:gridCol w:w="1134"/>
        <w:gridCol w:w="1134"/>
        <w:gridCol w:w="1418"/>
        <w:gridCol w:w="5399"/>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53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001896.SZ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豫能控股</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2023-08-31</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河南豫能控股股份有限公司控股子公司鹤壁丰鹤发电有限责任公司于2023年8月29日收到鹤壁煤业(集团)有限责任公司一期分布式太阳能光伏发电合同能源项目的成交通知书。</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2023-08-30</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收到控股子公司深圳三晖能源科技有限公司与东莞市晓东新能源有限公司签订的采购合同，晓东新能源向三晖能源采购储能系统（规格：SE2000L-215，包含电池系统、BMS、PCS、液冷机组等），合同总金额40,221.08万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002536.SZ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飞龙股份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2023-08-25</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为推动公司新能源转型战略、发挥在储能液冷方面的产品优势，打造绿色工厂，飞龙汽车部件股份有限公司联合长兴太湖能谷科技有限公司、河南装投新能源有限公司进行战略合作，互利共赢，扩大储能市场。公司于今日上午收到了三方签订的《储能项目合作开发协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2023-08-24</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交易为城发环境股份有限公司全资子公司河南沃克曼建设工程有限公司中标了“河南生物科技成果转化创新平台中试基地项目工程施工及设备采购（PC总承包）”项目，现沃克曼与河南投资集团有限公司控股子公司新拓洋生物工程有限公司拟签订《河南生物科技成果转化创新平台中试基地项目PC总承包合同》，合同总金额：含税价人民币6,185万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2023-08-17</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交易为城发环境股份有限公司全资子公司河南沃克曼建设工程有限公司中标了龙湖金融中心外环4号楼展厅装饰装修EPC工程总承包，现沃克曼与河南投资集团有限公司拟签订《龙湖金融中心外环4号楼展厅装饰装修EPC工程总承包》，合同总金额：含税价人民币3450.4万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2023-08-15</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近日,国家电网有限公司电子商务平台发布国家电网有限公司 2023 年第三十三批采购(特高压项目第三次设备招标采购)中标候选人公示,金冠电气股份有限公司(以下简称“公司”)中标特高压项目宁夏-湖南、金上-湖北±800 千伏特高压直流输电工程的避雷器产品共 3 个标包,合计中标金额 7,250 万元。本公司所披露的中标项目仅为中标金额 2,000 万元(含)以上项目。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2023-08-10</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新乡天力锂能股份有限公司（以下简称“公司”或“天力锂能”）与广州鹏辉能源科技股份有限公司（以下简称“鹏辉能源”）于2023年8月8日签署《战略合作框架协议》（以下简称“框架协议”）。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林州重机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2023-08-09</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林州重机集团股份有限公司近日与陕西煤业物资榆通有限责任公司本着平等自愿、双赢互惠的原则，协商一致，签署了《小保当矿一号矿132202工作面液压支架设备采购合同》（WZYT-2023-S-0197），本合同总价金额为505,441,587.00元人民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600817.SH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宇通重工</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2023-08-08</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宇通重工股份有限公司子公司傲蓝得环境科技有限公司于 2023 年 8 月 4 日收到中标通知书,傲蓝得中标上街区环卫建设与服务一体化特许经营项目二标段。</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2023-08-01</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日前,国家电网有限公司电子商务平台(http://ecp.sgcc.com.cn)发布了“国家电网有限公司 2023 年第四十八批采购(输变电项目第三次变电设备(含电缆)招标采购)中标公告”、“国家电网有限公司 2023 年第四十九批采购(输变电项目第三次变电设备单一来源采购)成交公告”、“国家电网有限公司 2023年新增第九批采购(输变电项目第一次 35-110 千伏设备协议库存招标采购)成交公告”。河南平高电气股份有限公司(以下简称“公司”)及子公司、合营公司为相关项目中标单位,中标金额合计约为 8.76 亿元,占 2022 年营业收入的 9.45%。</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2023-08-01</w:t>
            </w:r>
          </w:p>
        </w:tc>
        <w:tc>
          <w:tcPr>
            <w:tcW w:w="539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郑州三晖电气股份有限公司近日收到控股子公司深圳三晖能源科技有限公司与浙江久耀企业管理有限公司于2023年7月31日签署了《关于打造零碳产业园之框架合作协议》</w:t>
            </w:r>
          </w:p>
        </w:tc>
      </w:tr>
    </w:tbl>
    <w:p>
      <w:pPr>
        <w:spacing w:before="156" w:beforeLines="50" w:after="156" w:afterLines="50"/>
        <w:ind w:firstLine="562" w:firstLineChars="200"/>
        <w:rPr>
          <w:rFonts w:ascii="楷体" w:hAnsi="楷体" w:eastAsia="楷体" w:cs="Calibri"/>
          <w:b/>
          <w:sz w:val="28"/>
        </w:rPr>
      </w:pPr>
      <w:bookmarkStart w:id="0" w:name="_GoBack"/>
      <w:bookmarkEnd w:id="0"/>
      <w:r>
        <w:rPr>
          <w:rFonts w:hint="eastAsia" w:ascii="仿宋" w:hAnsi="仿宋" w:eastAsia="仿宋"/>
          <w:b/>
          <w:sz w:val="28"/>
        </w:rPr>
        <w:t>六、上市公司八月违规案例精选</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 xml:space="preserve">1. </w:t>
      </w:r>
      <w:r>
        <w:rPr>
          <w:rFonts w:hint="eastAsia" w:ascii="仿宋" w:hAnsi="仿宋" w:eastAsia="仿宋" w:cs="仿宋"/>
          <w:b/>
          <w:color w:val="000000"/>
          <w:sz w:val="28"/>
          <w:szCs w:val="28"/>
        </w:rPr>
        <w:t>募投项目情况有变怎么办？</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查明，2016年6月29日，沪主板某上市公司披露首次公开发行股票上市公告书，募集资金净额28,994.35万元，主要用于募投项目“30万台电机及2500万件模塑制品扩能项目”（以下简称扩能项目）和“研发中心建设”。根据公司首次公开发行股票招股说明书，扩能项目的建设期为24个月，公司于2016年7月上市，该项目应当于2018年7月建设完毕。2022年8月22日，公司披露公告称，拟终止扩能项目，并将上述募投项目剩余的募集资金 15,245.71 万元全部用于永久补充公司流动资金，截至公告日的募投项目累计投入比例约为 50.48%。终止扩能项目的主要原因为募投项目实施地点的变更及环评审批的趋严导致项目的实施时间跨度较长、公司所处的市场环境和市场机遇发生变化、政府环保和安全要求日趋严格等。2022年8月25日，公司披露问询函回复公告称，扩能项目的可行性已于2021年四季度发生变化，但公司2021年度募集资金使用情况专项报告中未能说明募投项目可行性已发生变化，且未充分提示募投项目延期的风险。相关信息披露不及时、风险提示不充分。</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另经查明，公司2018年募集资金存放与实际使用情况的专项报告显示，截至2018年12月，扩能项目的投入进度仅约25.04%，未能按照招股说明书披露的期限完成，募集资金投入金额未达到计划金额的50%。根据相关规则规定，在前述情形下，公司应当对该募投项目的可行性、预计收益等重新进行论证，并在最近一期定期报告中披露项目的进展情况、出现异常的原因，但公司未按照相关要求及时进行论证并履行信息披露义务，迟至2022年8月22日才披露拟终止扩能项目的公告。另外，公司在2017年至2022年上半年的募集资金专项使用报告中，未按照募集资金使用情况对照表的要求，披露扩能项目达到预定可使用状态的日期，且在2017年年报至2019年半年报期间未在专项报告中披露项目未达计划进度的原因，相关信息披露不准确、不完整。</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海证券交易所认为，上市公司的上述行为上述行为违反了《上市公司募集资金管理办法（2013年）》第十条、第二十六条、第二十七条，《上海证券交易所股票上市规则（2020年修订）》第2.1条、第2.3条、第2.5条，《上海证券交易所股票上市规则（2022 年修订）》第2.1.1条、第2.1.4条、第2.1.7条等有关规定。对上市公司和时任董事会秘书杜某予以监管警示。</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《上市公司监管指引第2号——上市公司募集资金管理和使用的监管要求（2022年修订）》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第十二条　上市公司应当真实、准确、完整地披露募集资金的实际使用情况。董事会应当每半年度全面核查募集资金投资项目的进展情况，出具《公司募集资金存放与实际使用情况的专项报告》并披露。</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《上海证券交易所上市公司自律监管指引第1号——规范运作（2023年8月修订）》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6.3.9 募集资金投资项目出现下列情形之一的，上市公司应当对该项目的可行性、预计收益等重新进行论证，决定是否继续实施该项目：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（一）募集资金投资项目涉及的市场环境发生重大变化的；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（二）募集资金投资项目搁置时间超过一年的；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（三）超过最近一次募集资金投资计划的完成期限且募集资金投入金额未达到相关计划金额50%的；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（四）募集资金投资项目出现其他异常情形的。</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募投项目是募集资金的主要投向，也是投资者作出投资决策的重要参考，上市公司募投项目实际投资进度与投资计划存在差异，或者其可行性发生实际变化时，应当重新论证其可行性，并及时说明相关情况，提示风险。</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独立董事不独立？</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查明，张某作为深主板某上市公司独立董事期间，在2021年3月19日-2021年3月22日,张某担任某有限公司董事，违反了《独立董事提名人声明》《独立董事候选人声明》中关于“本人不在该公司控股股东、实际控制人及其附属企业任职”的承诺，且张某未及时将该任职情况告知上市公司。上述情形不符合《上市公司监管指引第4号——上市公司实际控制人、股东、关联方、收购人以及上市公司承诺及履行》（以下简称《监管指引》）第5条的规定。</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安徽证监局决定对上市公司独立董事张某采取监管谈话的行政监管措施。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《上市公司独立董事管理办法》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第六条　独立董事必须保持独立性。下列人员不得担任独立董事：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（一）在上市公司或者其附属企业任职的人员及其配偶、父母、子女、主要社会关系；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（二）直接或者间接持有上市公司已发行股份百分之一以上或者是上市公司前十名股东中的自然人股东及其配偶、父母、子女；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（三）在直接或者间接持有上市公司已发行股份百分之五以上的股东或者在上市公司前五名股东任职的人员及其配偶、父母、子女；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（四）在上市公司控股股东、实际控制人的附属企业任职的人员及其配偶、父母、子女；</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（五）与上市公司及其控股股东、实际控制人或者其各自的附属企业有重大业务往来的人员，或者在有重大业务往来的单位及其控股股东、实际控制人任职的人员；</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（七）最近十二个月内曾经具有第一项至第六项所列举情形的人员；</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（八）法律、行政法规、中国证监会规定、证券交易所业务规则和公司章程规定的不具备独立性的其他人员。</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述案例中，上市公司在审议聘任该独立董事张某之前，其实张某已经在上市公司实际控制人控制的企业任职，不符合独立性要求。《上市公司独立董事管理办法》即将于9月4日生效，新规设置一年的过渡期，建议上市公司及时核查在职与拟任职的独立董事的独立性是否符合规则要求。</w:t>
      </w:r>
    </w:p>
    <w:p/>
    <w:sectPr>
      <w:head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abs>
        <w:tab w:val="left" w:pos="810"/>
        <w:tab w:val="clear" w:pos="4153"/>
        <w:tab w:val="clear" w:pos="8306"/>
      </w:tabs>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MzZkY2QzMjMxOWZmYjkxYjU3ZjBlYjgwMjdiYjkifQ=="/>
  </w:docVars>
  <w:rsids>
    <w:rsidRoot w:val="5CA456FA"/>
    <w:rsid w:val="00074D92"/>
    <w:rsid w:val="00091ABF"/>
    <w:rsid w:val="000925A6"/>
    <w:rsid w:val="000D2958"/>
    <w:rsid w:val="001201C0"/>
    <w:rsid w:val="00135E58"/>
    <w:rsid w:val="001733F4"/>
    <w:rsid w:val="001F1EDE"/>
    <w:rsid w:val="002071AC"/>
    <w:rsid w:val="002202DE"/>
    <w:rsid w:val="0023716C"/>
    <w:rsid w:val="002836A6"/>
    <w:rsid w:val="002860E7"/>
    <w:rsid w:val="00293C0F"/>
    <w:rsid w:val="002C52F1"/>
    <w:rsid w:val="002D46AF"/>
    <w:rsid w:val="00300266"/>
    <w:rsid w:val="003B2845"/>
    <w:rsid w:val="00502292"/>
    <w:rsid w:val="00553805"/>
    <w:rsid w:val="00567A23"/>
    <w:rsid w:val="00634DD8"/>
    <w:rsid w:val="00662752"/>
    <w:rsid w:val="006A2010"/>
    <w:rsid w:val="006B4BC7"/>
    <w:rsid w:val="006E4910"/>
    <w:rsid w:val="00757179"/>
    <w:rsid w:val="0077380A"/>
    <w:rsid w:val="007A5E44"/>
    <w:rsid w:val="00832BA2"/>
    <w:rsid w:val="00905FA6"/>
    <w:rsid w:val="009233CE"/>
    <w:rsid w:val="0093672A"/>
    <w:rsid w:val="00947D35"/>
    <w:rsid w:val="00967ED2"/>
    <w:rsid w:val="009B4AF1"/>
    <w:rsid w:val="00A0048E"/>
    <w:rsid w:val="00A2065C"/>
    <w:rsid w:val="00A25C9D"/>
    <w:rsid w:val="00A450DC"/>
    <w:rsid w:val="00AB7415"/>
    <w:rsid w:val="00AE2C15"/>
    <w:rsid w:val="00AF5A65"/>
    <w:rsid w:val="00B12211"/>
    <w:rsid w:val="00B150AF"/>
    <w:rsid w:val="00BF15A3"/>
    <w:rsid w:val="00BF36C0"/>
    <w:rsid w:val="00C063F5"/>
    <w:rsid w:val="00C14AC7"/>
    <w:rsid w:val="00C4787B"/>
    <w:rsid w:val="00C50CF6"/>
    <w:rsid w:val="00D4346F"/>
    <w:rsid w:val="00D803FB"/>
    <w:rsid w:val="00DD6843"/>
    <w:rsid w:val="00DF64B8"/>
    <w:rsid w:val="00F216F4"/>
    <w:rsid w:val="00F94756"/>
    <w:rsid w:val="00FA2724"/>
    <w:rsid w:val="00FE5E55"/>
    <w:rsid w:val="00FF5D07"/>
    <w:rsid w:val="02405631"/>
    <w:rsid w:val="08324530"/>
    <w:rsid w:val="111E6522"/>
    <w:rsid w:val="2DE34E7D"/>
    <w:rsid w:val="30AC56BF"/>
    <w:rsid w:val="383B2000"/>
    <w:rsid w:val="469E70ED"/>
    <w:rsid w:val="4ABF3832"/>
    <w:rsid w:val="55BF28E5"/>
    <w:rsid w:val="5CA456FA"/>
    <w:rsid w:val="6D535020"/>
    <w:rsid w:val="7D55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22"/>
    <w:qFormat/>
    <w:uiPriority w:val="99"/>
    <w:pP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Char"/>
    <w:basedOn w:val="11"/>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 w:type="character" w:customStyle="1" w:styleId="22">
    <w:name w:val="页眉 字符"/>
    <w:basedOn w:val="11"/>
    <w:link w:val="6"/>
    <w:qFormat/>
    <w:uiPriority w:val="0"/>
    <w:rPr>
      <w:rFonts w:hint="default" w:ascii="Calibri" w:hAnsi="Calibri" w:cs="Calibr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1"/>
              <c:layout>
                <c:manualLayout>
                  <c:x val="-0.00998751560549313"/>
                  <c:y val="-0.01851851851851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24843945068664"/>
                  <c:y val="-0.023148148148148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74906367041198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843170320404722"/>
                  <c:y val="0.06578947368421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02887581716704"/>
                  <c:y val="0.08845014850117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74906367041198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5587231612911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3701.18</c:v>
                </c:pt>
                <c:pt idx="1">
                  <c:v>3610.08</c:v>
                </c:pt>
                <c:pt idx="2">
                  <c:v>1879.69</c:v>
                </c:pt>
                <c:pt idx="3">
                  <c:v>1451.26</c:v>
                </c:pt>
                <c:pt idx="4">
                  <c:v>1214.72</c:v>
                </c:pt>
                <c:pt idx="5">
                  <c:v>728.35</c:v>
                </c:pt>
                <c:pt idx="6">
                  <c:v>560.73</c:v>
                </c:pt>
                <c:pt idx="7">
                  <c:v>345.39</c:v>
                </c:pt>
                <c:pt idx="8">
                  <c:v>215.4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市值（亿元）（2023-08-31）</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中航光电</c:v>
                </c:pt>
                <c:pt idx="3">
                  <c:v>双汇发展</c:v>
                </c:pt>
                <c:pt idx="4">
                  <c:v>龙佰集团</c:v>
                </c:pt>
                <c:pt idx="5">
                  <c:v>华兰生物</c:v>
                </c:pt>
                <c:pt idx="6">
                  <c:v>神火股份</c:v>
                </c:pt>
                <c:pt idx="7">
                  <c:v>宇通客车</c:v>
                </c:pt>
                <c:pt idx="8">
                  <c:v>安图生物</c:v>
                </c:pt>
                <c:pt idx="9">
                  <c:v>郑煤机</c:v>
                </c:pt>
              </c:strCache>
            </c:strRef>
          </c:cat>
          <c:val>
            <c:numRef>
              <c:f>Sheet3!$B$2:$B$11</c:f>
              <c:numCache>
                <c:formatCode>General</c:formatCode>
                <c:ptCount val="10"/>
                <c:pt idx="0">
                  <c:v>2217.84</c:v>
                </c:pt>
                <c:pt idx="1">
                  <c:v>1237.64</c:v>
                </c:pt>
                <c:pt idx="2">
                  <c:v>948.08</c:v>
                </c:pt>
                <c:pt idx="3">
                  <c:v>930.61</c:v>
                </c:pt>
                <c:pt idx="4">
                  <c:v>433.17</c:v>
                </c:pt>
                <c:pt idx="5">
                  <c:v>387.31</c:v>
                </c:pt>
                <c:pt idx="6">
                  <c:v>357.46</c:v>
                </c:pt>
                <c:pt idx="7">
                  <c:v>276.08</c:v>
                </c:pt>
                <c:pt idx="8">
                  <c:v>268.81</c:v>
                </c:pt>
                <c:pt idx="9">
                  <c:v>225.28</c:v>
                </c:pt>
              </c:numCache>
            </c:numRef>
          </c:val>
        </c:ser>
        <c:dLbls>
          <c:showLegendKey val="0"/>
          <c:showVal val="1"/>
          <c:showCatName val="0"/>
          <c:showSerName val="0"/>
          <c:showPercent val="0"/>
          <c:showBubbleSize val="0"/>
        </c:dLbls>
        <c:gapWidth val="75"/>
        <c:axId val="197067424"/>
        <c:axId val="197065792"/>
      </c:barChart>
      <c:catAx>
        <c:axId val="1970674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5792"/>
        <c:crosses val="autoZero"/>
        <c:auto val="1"/>
        <c:lblAlgn val="ctr"/>
        <c:lblOffset val="100"/>
        <c:noMultiLvlLbl val="0"/>
      </c:catAx>
      <c:valAx>
        <c:axId val="197065792"/>
        <c:scaling>
          <c:orientation val="minMax"/>
          <c:max val="24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600"/>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中原证券</c:v>
                </c:pt>
                <c:pt idx="1">
                  <c:v>中原传媒</c:v>
                </c:pt>
                <c:pt idx="2">
                  <c:v>牧原股份</c:v>
                </c:pt>
                <c:pt idx="3">
                  <c:v>洛阳钼业</c:v>
                </c:pt>
                <c:pt idx="4">
                  <c:v>豫光金铅</c:v>
                </c:pt>
                <c:pt idx="5">
                  <c:v>神火股份</c:v>
                </c:pt>
                <c:pt idx="6">
                  <c:v>中航光电</c:v>
                </c:pt>
                <c:pt idx="7">
                  <c:v>中孚实业</c:v>
                </c:pt>
                <c:pt idx="8">
                  <c:v>新天地</c:v>
                </c:pt>
                <c:pt idx="9">
                  <c:v>明泰铝业</c:v>
                </c:pt>
              </c:strCache>
            </c:strRef>
          </c:cat>
          <c:val>
            <c:numRef>
              <c:f>Sheet1!$B$2:$B$11</c:f>
              <c:numCache>
                <c:formatCode>###,###,###,##0.0000</c:formatCode>
                <c:ptCount val="10"/>
                <c:pt idx="0">
                  <c:v>216.17</c:v>
                </c:pt>
                <c:pt idx="1">
                  <c:v>211.05</c:v>
                </c:pt>
                <c:pt idx="2">
                  <c:v>139.74</c:v>
                </c:pt>
                <c:pt idx="3">
                  <c:v>116.68</c:v>
                </c:pt>
                <c:pt idx="4">
                  <c:v>116.42</c:v>
                </c:pt>
                <c:pt idx="5">
                  <c:v>86.67</c:v>
                </c:pt>
                <c:pt idx="6">
                  <c:v>85.62</c:v>
                </c:pt>
                <c:pt idx="7">
                  <c:v>85.4</c:v>
                </c:pt>
                <c:pt idx="8">
                  <c:v>81.34</c:v>
                </c:pt>
                <c:pt idx="9">
                  <c:v>79.16</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30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60"/>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21</Pages>
  <Words>11873</Words>
  <Characters>14358</Characters>
  <Lines>107</Lines>
  <Paragraphs>30</Paragraphs>
  <TotalTime>1</TotalTime>
  <ScaleCrop>false</ScaleCrop>
  <LinksUpToDate>false</LinksUpToDate>
  <CharactersWithSpaces>14448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2019-03-11T01:10:00Z</dcterms:created>
  <dc:creator>Annie</dc:creator>
  <cp:lastModifiedBy>北乔峰</cp:lastModifiedBy>
  <cp:lastPrinted>2019-03-05T08:32:00Z</cp:lastPrinted>
  <dcterms:modified xsi:type="dcterms:W3CDTF">2023-09-18T01:33:00Z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D732FAE3AFBC4A349CA1E2BD1397DC03_13</vt:lpwstr>
  </property>
</Properties>
</file>