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9月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color w:val="auto"/>
          <w:sz w:val="28"/>
        </w:rPr>
        <w:t>河南上市公司协会联合上海信公科技集团股份有限公司，就河南辖区上市公司2023年</w:t>
      </w:r>
      <w:r>
        <w:rPr>
          <w:rFonts w:hint="eastAsia" w:ascii="仿宋" w:hAnsi="仿宋" w:eastAsia="仿宋"/>
          <w:color w:val="auto"/>
          <w:sz w:val="28"/>
          <w:lang w:val="en-US" w:eastAsia="zh-CN"/>
        </w:rPr>
        <w:t>9</w:t>
      </w:r>
      <w:r>
        <w:rPr>
          <w:rFonts w:hint="eastAsia" w:ascii="仿宋" w:hAnsi="仿宋" w:eastAsia="仿宋"/>
          <w:color w:val="auto"/>
          <w:sz w:val="28"/>
        </w:rPr>
        <w:t>月份市场表现及公开披露的相关信息进行归纳总结、对比分析，</w:t>
      </w:r>
      <w:r>
        <w:rPr>
          <w:rFonts w:hint="eastAsia" w:ascii="仿宋" w:hAnsi="仿宋" w:eastAsia="仿宋"/>
          <w:sz w:val="28"/>
        </w:rPr>
        <w:t>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一、九</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ascii="仿宋" w:hAnsi="仿宋" w:eastAsia="仿宋" w:cs="仿宋"/>
          <w:b/>
          <w:sz w:val="28"/>
          <w:szCs w:val="28"/>
        </w:rPr>
        <w:t>国资委：积极培育孵化未来产业 加快培育具有重大引领带动作用的人工智能企业和产业。</w:t>
      </w:r>
      <w:r>
        <w:rPr>
          <w:rFonts w:hint="eastAsia" w:ascii="仿宋" w:hAnsi="仿宋" w:eastAsia="仿宋" w:cs="仿宋"/>
          <w:sz w:val="28"/>
          <w:szCs w:val="28"/>
        </w:rPr>
        <w:t>9月2</w:t>
      </w:r>
      <w:r>
        <w:rPr>
          <w:rFonts w:ascii="仿宋" w:hAnsi="仿宋" w:eastAsia="仿宋" w:cs="仿宋"/>
          <w:sz w:val="28"/>
          <w:szCs w:val="28"/>
        </w:rPr>
        <w:t>6</w:t>
      </w:r>
      <w:r>
        <w:rPr>
          <w:rFonts w:hint="eastAsia" w:ascii="仿宋" w:hAnsi="仿宋" w:eastAsia="仿宋" w:cs="仿宋"/>
          <w:sz w:val="28"/>
          <w:szCs w:val="28"/>
        </w:rPr>
        <w:t>日，国务院国资委举办第二期“智慧国资 数字央企”大讲堂。国务院国资委党委书记、主任张玉卓介绍了积极推动国资央企数字经济与实体经济深度融合，加速推进数字经济新场景应用落地，在实现数字技术转移、成果转化与产业化合作方面的进展成效。希望进一步与高校、科研院所等建立多种形式合作关系，畅通数据资源大循环，有效释放数据要素价值，加快传统产业高端化、智能化、绿色化转型升级，积极培育孵化未来产业，加快培育具有重大引领带动作用的人工智能企业和产业，抢占科技革命和产业变革的制高点。</w:t>
      </w:r>
    </w:p>
    <w:p>
      <w:pPr>
        <w:widowControl/>
        <w:ind w:firstLine="562" w:firstLineChars="200"/>
        <w:rPr>
          <w:rFonts w:ascii="仿宋" w:hAnsi="仿宋" w:eastAsia="仿宋" w:cs="仿宋"/>
          <w:b/>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ascii="仿宋" w:hAnsi="仿宋" w:eastAsia="仿宋" w:cs="仿宋"/>
          <w:b/>
          <w:sz w:val="28"/>
          <w:szCs w:val="28"/>
        </w:rPr>
        <w:t>财政部：截至2023年8月末 全国地方政府债务余额控制在全国人大批准的限额之内</w:t>
      </w:r>
      <w:r>
        <w:rPr>
          <w:rFonts w:hint="eastAsia" w:ascii="仿宋" w:hAnsi="仿宋" w:eastAsia="仿宋" w:cs="仿宋"/>
          <w:sz w:val="28"/>
          <w:szCs w:val="28"/>
        </w:rPr>
        <w:t>。9月26日，财政部公布8月地方政府债券发行和债务余额情况。2023年8月，全国发行新增债券7143亿元，其中一般债券1136亿元、专项债券6007亿元。2023年1-8月，全国发行新增债券36849亿元，其中一般债券5871亿元、专项债券30978亿元。截至2023年8月末，全国地方政府债务余额387480亿元，控制在全国人大批准的限额之内。其中，一般债务149314亿元，专项债务238166亿元；政府债券385822亿元，非政府债券形式存量政府债务1658亿元。</w:t>
      </w:r>
    </w:p>
    <w:p>
      <w:pPr>
        <w:widowControl/>
        <w:ind w:firstLine="562" w:firstLineChars="200"/>
        <w:rPr>
          <w:rFonts w:ascii="仿宋" w:hAnsi="仿宋" w:eastAsia="仿宋" w:cs="仿宋"/>
          <w:sz w:val="28"/>
          <w:szCs w:val="28"/>
        </w:rPr>
      </w:pPr>
      <w:r>
        <w:rPr>
          <w:rFonts w:ascii="仿宋" w:hAnsi="仿宋" w:eastAsia="仿宋" w:cs="仿宋"/>
          <w:b/>
          <w:bCs/>
          <w:sz w:val="28"/>
          <w:szCs w:val="28"/>
        </w:rPr>
        <w:t>3.</w:t>
      </w:r>
      <w:r>
        <w:rPr>
          <w:rFonts w:hint="eastAsia" w:ascii="仿宋" w:hAnsi="仿宋" w:eastAsia="仿宋" w:cs="仿宋"/>
          <w:b/>
          <w:sz w:val="28"/>
          <w:szCs w:val="28"/>
        </w:rPr>
        <w:t>商务部：中欧双方同意加强中欧证券期货监管部门在多双边框架下的交流与合作 并加强“合格中央对手方”监管合作。</w:t>
      </w:r>
      <w:r>
        <w:rPr>
          <w:rFonts w:hint="eastAsia" w:ascii="仿宋" w:hAnsi="仿宋" w:eastAsia="仿宋" w:cs="仿宋"/>
          <w:sz w:val="28"/>
          <w:szCs w:val="28"/>
        </w:rPr>
        <w:t>9月26日，商务部新闻发言人就第十次中欧经贸高层对话有关情况答记者问时表示，双方同意加强中欧证券期货监管部门在多双边框架下的交流与合作，共同应对国际经济金融挑战，并加强“合格中央对手方”监管合作。中国证监会和欧委会有关部门将共同评估关于中央对手方监管和监管框架的等效性认定，为提供清算服务的中国期货交易所申请成为欧盟“合格中央对手方”创造条件。双方金融监管部门同意进一步加强交流合作，共同促进金融市场稳定发展。欧方欢迎中方近年来在优化外资银行在华分行监管要求方面取得的成果。中方希望欧方在修订银行业监管相关政策指引时充分考虑中方合理关切，为中资银行在欧发展提供良好营商环境。</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4.</w:t>
      </w:r>
      <w:r>
        <w:rPr>
          <w:rFonts w:hint="eastAsia" w:ascii="仿宋" w:hAnsi="仿宋" w:eastAsia="仿宋" w:cs="仿宋"/>
          <w:b/>
          <w:bCs/>
          <w:sz w:val="28"/>
          <w:szCs w:val="28"/>
        </w:rPr>
        <w:t>央行：加大已出台货币政策实施力度，坚决防范汇率超调风险。</w:t>
      </w:r>
      <w:r>
        <w:rPr>
          <w:rFonts w:hint="eastAsia" w:ascii="仿宋" w:hAnsi="仿宋" w:eastAsia="仿宋" w:cs="仿宋"/>
          <w:bCs/>
          <w:sz w:val="28"/>
          <w:szCs w:val="28"/>
        </w:rPr>
        <w:t>9月27日，中国人民银行货币政策委员会2023年第三季度（总第102次）例会于9月25日在北京召开。会议指出，加大已出台货币政策实施力度，保持流动性合理充裕，保持信贷合理增长、节奏平稳，保持货币供应量和社会融资规模增速同名义经济增速基本匹配。促进物价低位回升，保持物价在合理水平。深化汇率市场化改革，引导企业和金融机构坚持“风险中性”理念，综合施策、校正背离、稳定预期，坚决对单边、顺周期行为予以纠偏，坚决防范汇率超调风险，保持人民币汇率在合理均衡水平上的基本稳定。</w:t>
      </w:r>
    </w:p>
    <w:p>
      <w:pPr>
        <w:spacing w:before="156" w:beforeLines="50" w:after="156" w:afterLines="50"/>
        <w:rPr>
          <w:rFonts w:ascii="仿宋" w:hAnsi="仿宋" w:eastAsia="仿宋" w:cs="仿宋"/>
          <w:bCs/>
          <w:sz w:val="28"/>
          <w:szCs w:val="28"/>
        </w:rPr>
      </w:pPr>
      <w:r>
        <w:rPr>
          <w:rFonts w:ascii="仿宋" w:hAnsi="仿宋" w:eastAsia="仿宋" w:cs="仿宋"/>
          <w:b/>
          <w:bCs/>
          <w:sz w:val="28"/>
          <w:szCs w:val="28"/>
        </w:rPr>
        <w:t>5.</w:t>
      </w:r>
      <w:r>
        <w:rPr>
          <w:rFonts w:hint="eastAsia" w:ascii="仿宋" w:hAnsi="仿宋" w:eastAsia="仿宋" w:cs="仿宋"/>
          <w:b/>
          <w:bCs/>
          <w:sz w:val="28"/>
          <w:szCs w:val="28"/>
        </w:rPr>
        <w:t>证监会：新增3项非经常性损益判断原则。</w:t>
      </w:r>
      <w:r>
        <w:rPr>
          <w:rFonts w:hint="eastAsia" w:ascii="仿宋" w:hAnsi="仿宋" w:eastAsia="仿宋" w:cs="仿宋"/>
          <w:bCs/>
          <w:sz w:val="28"/>
          <w:szCs w:val="28"/>
        </w:rPr>
        <w:t>9月28日，证监会就《公开发行证券的公司信息披露解释性公告第1号——非经常性损益（2023年修订）》公开征求意见。主要修订内容包括：新增3项非经常性损益判断原则，明确非经常性损益应基于交易和事项的经济性质、结合行业特点和业务模式、遵循重要性原则进行认定，为公司恰当披露非经常性损益信息提供指引。是明确实际执行中存在争议的问题，如规定公司因经营活动不再持续，或因税收、会计等法律法规调整等而对当期损益产生的一次性影响，应计入非经常性损益，减少实务执行争议。结合近年《企业会计准则》和监管规则修订情况，完善《1号解释性公告》相关表述，在股份支付、显失公允的交易损益等列举项目上，与上市发行、退市环节有关要求保持一致。</w:t>
      </w:r>
    </w:p>
    <w:p>
      <w:pPr>
        <w:widowControl/>
        <w:rPr>
          <w:rFonts w:ascii="仿宋" w:hAnsi="仿宋" w:eastAsia="仿宋" w:cs="仿宋"/>
          <w:b/>
          <w:bCs/>
          <w:sz w:val="28"/>
          <w:szCs w:val="28"/>
        </w:rPr>
      </w:pPr>
      <w:r>
        <w:rPr>
          <w:rFonts w:hint="eastAsia" w:ascii="仿宋" w:hAnsi="仿宋" w:eastAsia="仿宋" w:cs="仿宋"/>
          <w:b/>
          <w:bCs/>
          <w:sz w:val="28"/>
          <w:szCs w:val="28"/>
        </w:rPr>
        <w:t>二、九月券商行业研究情况浏览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ascii="仿宋" w:hAnsi="仿宋" w:eastAsia="仿宋" w:cs="仿宋"/>
          <w:b/>
          <w:bCs/>
          <w:color w:val="333333"/>
          <w:kern w:val="0"/>
          <w:sz w:val="28"/>
          <w:szCs w:val="28"/>
          <w:shd w:val="clear" w:color="auto" w:fill="FFFFFF"/>
        </w:rPr>
        <w:t>电子行业深度报告：存储行业拐点已至，国产化主线确</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存储行业周期拐点确立，国产化进程加速：伴随需求回暖、单设备存储容量提升以及备货潮，存储市场规模逐步恢复增长。存储颗粒2023Q3价格环比跌幅收敛，部分产品已出现涨价现象。</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DRAM目前跌价过多的低价颗粒已出现涨价，且合约价后续跌幅有限，DDR4部分产品的现货价格分别于8月底及9月触底后出现反弹迹象，环比8月涨幅0%~10%，市场逐步回暖。此外，NANDWafer相继强势拉涨，并且上游的涨价有望持续发酵。龙头大厂三星等酝酿涨价背景之下，国内存储厂商也陆续跟进。国产厂商DRAM和NAND的技术水平向海外主流水平靠近，份额占比逐步提升，存储国产化主线确立。</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存储厂商减产计划持续，库存拐点开始显现：海外大厂稼动率持续下降助力加速库存去化，根据TrendForce数据显示，2023年Q2三星/美光/海力士的稼动率分别下降至77%/74%/82%，海力士与美光23年Q2的资本开支分别同比下降62%/40%，并加速布局HBM新产品。此外，2023年中报数据显示大部分模组厂库存原材料环比增长，绝大多数模组厂库存周转天数环比有所下降，模组厂开始备货，预期未来量价齐升；部分IC厂商库存商品环比减少，存货周转天数环比有所下降，库存去化效果良好，效益有望下半年显现。另外DRAM和NAND的全球市场规模从2023 Q2开始环比提升，DRAM 2023Q2全球市场规模环比提升20.4%，NAND 2023Q2全球市场规模环比提升7.4%。伴随下游需求逐步回暖，存储市场供过于求与存储器价格下跌情形逐步扭转，各厂家库存水位有望逐步正常化，行业业绩有望恢复增长态势。</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消费电子、AI服务器、车载等多领域助力存储行业回暖：消费电子行业需求回暖、AI浪潮袭来与汽车市场景气度上升将推动存储行业回暖。2023Q2笔电市场需求连续六个季度以来首次恢复成长，智能手机出货量同比降幅收窄，TWS耳机Q2实现环比增长，可穿戴设备市场中国产品牌份额持续提升。2023年全球AI服务器存储市场规模为76亿美元，预计2026年能达到492亿美元，23-26年CAGR为86.4%；根据Yole数据，2027年车载存储市场规模达到125亿美元，2021-2027年CAGR为20%。消费电子、AR/VR新品、AI服务器和车载等领域的增量拉动了NAND和DRAM存储器的需求回暖。</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（内容来源：东吴证券股份有限公司202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olor w:val="999999"/>
          <w:sz w:val="21"/>
          <w:szCs w:val="21"/>
          <w:shd w:val="clear" w:color="auto" w:fill="FFFFFF"/>
        </w:rPr>
        <w:t>09</w:t>
      </w:r>
      <w:r>
        <w:rPr>
          <w:rFonts w:hint="eastAsia" w:ascii="微软雅黑" w:hAnsi="微软雅黑" w:eastAsia="微软雅黑"/>
          <w:color w:val="999999"/>
          <w:sz w:val="21"/>
          <w:szCs w:val="21"/>
          <w:shd w:val="clear" w:color="auto" w:fill="FFFFFF"/>
        </w:rPr>
        <w:t>-</w:t>
      </w:r>
      <w:r>
        <w:rPr>
          <w:rFonts w:ascii="微软雅黑" w:hAnsi="微软雅黑" w:eastAsia="微软雅黑"/>
          <w:color w:val="999999"/>
          <w:sz w:val="21"/>
          <w:szCs w:val="21"/>
          <w:shd w:val="clear" w:color="auto" w:fill="FFFFFF"/>
        </w:rPr>
        <w:t>28</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ascii="仿宋" w:hAnsi="仿宋" w:eastAsia="仿宋" w:cs="仿宋"/>
          <w:b/>
          <w:bCs/>
          <w:color w:val="333333"/>
          <w:kern w:val="0"/>
          <w:sz w:val="28"/>
          <w:szCs w:val="28"/>
          <w:shd w:val="clear" w:color="auto" w:fill="FFFFFF"/>
        </w:rPr>
        <w:t>光伏行业月报：光伏产品出口数据连续回落，多家光伏企业回购股</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9月光伏产业指数持续下跌，个股表现低迷。截至9月26日，本月光伏行业下跌7.31%，大幅跑输沪深300指数，日均成交环比继续缩量。细分子行业普遍下跌，BC电池相关公司有所表现，总体投资者情绪依旧低迷。</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太阳能电池、逆变器出口增速连续回落，海外市场阶段性需求放缓。8月国内新增光伏装机16GW，同比增长137.39%。1-8月光伏新增装机量113.16GW，同比增长154.46%。国内光伏装机保持高增态势，全年有望超过170GW。2023年8月，我国太阳能电池出口金额241.94亿元，同比下滑16.60%。1-8月，我国太阳能电池累计出口金额2272.00亿元，同比增长6.3%。8月单月太阳能电池数据第二次出现负增长，但幅度有所收窄。出口疲软预计与去年同期高基数、欧洲市场库存消化以及海外安装力度不足有关。国内逆变器出口数量和金额继续同比降低，海外市场需求有所承压。</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光伏产品价格上下游分化，预计硅片、电池、组件价格下行。根据PVInfolink的统计，截至2023年9月20日，多晶硅致密料平均价格85元/kg,较上月底上涨6.25%。单晶硅片182mm/150μm(RMB)、210mm对应的均价分别为3.35、4.20元/片，较上月底变化0%和-3.45%。单晶PERC电池片- 182mm / 23%+ (RMB)、单晶PERC电池片- 210mm / 23%+ (RMB)销售均价0.69元/瓦、0.73元/瓦，较上月底变化-8%和0。182mm单面单晶PERC组件、210mm单面单晶PERC组件价格分别为1.21、1.22元/瓦，较上月底下滑2.41%和2.4%。2023年各环节扩产力度较大，尽管短期硅料价格有所反弹，但下游产品出货量较大，价格承压，预计产业链价格仍将保持低位。</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二级市场走势低迷，多家光伏企业回购股份。基于对公司未来发展的信心和价值的认可，为完善公司长效激励机制和维护广大投资者利益，增强投资者对公司的投资信心，9月多家光伏企业如晶科能源、天合光能、钧达股份、特变电工、大全能源、阳光电源、昱能科技、禾迈股份、晶盛机电等企业发布股份回购方案或进展。当前二级市场低迷，回购股份有利于提振投资者信心，修复市场情绪。</w:t>
      </w:r>
    </w:p>
    <w:p>
      <w:pPr>
        <w:pStyle w:val="7"/>
        <w:spacing w:before="156" w:beforeLines="50" w:beforeAutospacing="0" w:after="156" w:afterLines="50" w:afterAutospacing="0" w:line="360" w:lineRule="auto"/>
        <w:ind w:firstLine="561"/>
        <w:jc w:val="right"/>
        <w:rPr>
          <w:rFonts w:ascii="仿宋" w:hAnsi="仿宋" w:eastAsia="仿宋" w:cs="仿宋"/>
          <w:b/>
          <w:sz w:val="28"/>
          <w:szCs w:val="28"/>
        </w:rPr>
      </w:pPr>
      <w:r>
        <w:rPr>
          <w:rFonts w:hint="eastAsia" w:ascii="微软雅黑" w:hAnsi="微软雅黑" w:eastAsia="微软雅黑" w:cs="Calibri"/>
          <w:color w:val="A6A6A6" w:themeColor="background1" w:themeShade="A6"/>
          <w:sz w:val="21"/>
          <w:szCs w:val="21"/>
        </w:rPr>
        <w:t xml:space="preserve"> （内容来源：中原证券股份有限公司202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09</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28</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3.保险行业深度研究报告：寿险渠道转型持续兑现，产险景气度维持</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人身险行业筑底反弹，景气度回升。上半年人身险公司规模保费2.73万亿元，同比+12.1%。保费规模增速提升，主要得益于原保费收入快速增长。原保险保费收入2.33万亿元，同比+13.8%。分险种来看，寿险增速较去年同期大幅提升，健康险增速小幅提升，意外伤害险持续回落。今年行业面临的状况相比去年好转，作为主要险种的寿险转型持续推进。分公司来看，各公司保费收入均增长，国寿、平安、新华增速同比提升，太保增速同比小幅下降。但前四家上市险企人身险市场份额均下降。</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新单保费高增，上市险企新业务价值全面向好。产品定价利率切换政策带来储蓄险需求增加，疫情出清后代理人线下展业恢复，各险企新单增速大幅提升。各险企新业务价值率表现分化：国寿、平安新业务价值率下降，太保、新华受益于产品结构优化，新业务价值率提升。由于新单增速大幅提升，各险企NBV表现优异。NBV同比增速国寿+19.9%，平安+32.6%，太保+31.5%，新华+17.1%。</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代理人改革推动保单品质改善，各公司13月继续率（其中国寿为14月继续率）均明显提升，25月继续率（其中国寿为26月继续率）除新华外均明显提升。代理人规模降幅收窄，人力质态提升。行业持续清虚，人力规模仍在下降但降幅收窄。截至2023H1，各家公司个险渠道人力规模及较年初增速分别为：国寿（66万，-1.0%）、平安（37万，-16.0%）、太保月均（22万，-21.5%）、新华（17万，-13.2%）。上市险企人力降幅收缩企稳，代理人改革进程整体过半。代理人产能提升，各家公司人均首年保费均大幅上升，产能提升的背后，一方面是由于分母端人力大幅脱落，摊薄基数拉升人均，分子端上半年受益于疫情出清、产品政策调整等利好催化+低基数影响新单明显上行；另一方面则是由于行业持续清虚成果逐渐兑现，推动代理人队伍向专业化、职业化发展，人力质态企稳回升。</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银保渠道发展迅速，护航险企价值增长。2023上半年，各险企银保渠道保费收入增长，占比提升，银保渠道新业务价值贡献提升。截至2023H1，各险企银保渠道新业务价值及同比增速：平安28.25亿元（+174.7%）、太保13.81亿元（+305.0%）、新华6.99亿元（+202.6%）、人保10.52亿元（+331.1%）。银保渠道新业务价值高速增长预计是由于新单保费高增速和新业务价值率增长共同驱动。新单增速预计是由于产品政策调整影响，储蓄类险种是银保渠道的主要产品，受此利好驱动。</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上市险企车险成本率上升，非车维持景气度。上半年财产险公司保费收入8778亿元，同比+9.3%。上市险企整体份额略有下降，太保财增速领先。各公司保费收入同比增速分别为：人保+8.8%，平安+5.0%，太保+13.2%。太保增速跑赢行业，市占率提升；人保和平安跑输行业，市占率下降。车险方面，平安保费增速跑赢行业，受疫情后出行增加及行业竞争激烈的因素影响综合成本率普遍上升。非车险方面，太保保费增速跑赢行业。行业整体农险和责任险保费增加，COR优化。受宏观经济环境变化导致小微企业客户还款压力较大的影响，保证险成本率较高。</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2023年截至目前，保险板块多次上涨，整体跑赢大盘。2023上半年，在长债利率下行和二季度权益市场波动的背景下，保险企业资产端经营受到挑战。负债端方面，寿险端代理人转型加速兑现，银保渠道发展迅速，险企新业务价值全面提升；财险端车险COR小幅上升，非车险维持景气度。保险股跑赢大盘，截至2023年9月26日，保险指数年内上涨9.29%，跑赢大盘（沪深300指数）13.91pct。保险个股全面上涨，新华/太保/人保/平安/国寿涨幅分别为+24.04%/+19.54%/+15.90%/+3.32%/+0.38%，跑赢大盘28.65pct/24.15pct/20.52pct/ 7.94pct / 4.99pct。</w:t>
      </w:r>
    </w:p>
    <w:p>
      <w:pPr>
        <w:pStyle w:val="7"/>
        <w:spacing w:before="156" w:beforeLines="50" w:beforeAutospacing="0" w:after="156" w:afterLines="50" w:afterAutospacing="0" w:line="360" w:lineRule="auto"/>
        <w:ind w:firstLine="561"/>
        <w:jc w:val="right"/>
        <w:rPr>
          <w:rFonts w:hint="eastAsia" w:ascii="微软雅黑" w:hAnsi="微软雅黑" w:eastAsia="微软雅黑" w:cs="Calibri"/>
          <w:color w:val="A6A6A6" w:themeColor="background1" w:themeShade="A6"/>
          <w:sz w:val="21"/>
          <w:szCs w:val="21"/>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 w:val="21"/>
          <w:szCs w:val="21"/>
        </w:rPr>
        <w:t>（内容来源：华创证券有限责任公司202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09</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27</w:t>
      </w:r>
      <w:r>
        <w:rPr>
          <w:rFonts w:hint="eastAsia" w:ascii="微软雅黑" w:hAnsi="微软雅黑" w:eastAsia="微软雅黑" w:cs="Calibri"/>
          <w:color w:val="A6A6A6" w:themeColor="background1" w:themeShade="A6"/>
          <w:sz w:val="21"/>
          <w:szCs w:val="21"/>
        </w:rPr>
        <w:t>）</w:t>
      </w:r>
    </w:p>
    <w:p>
      <w:pPr>
        <w:spacing w:before="156" w:beforeLines="50" w:after="156" w:afterLines="5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截至2023年9月30日,河南辖区共有</w:t>
      </w:r>
      <w:r>
        <w:rPr>
          <w:rFonts w:ascii="仿宋" w:hAnsi="仿宋" w:eastAsia="仿宋"/>
          <w:sz w:val="28"/>
        </w:rPr>
        <w:t>A股上市公司110</w:t>
      </w:r>
      <w:r>
        <w:rPr>
          <w:rFonts w:hint="eastAsia" w:ascii="仿宋" w:hAnsi="仿宋" w:eastAsia="仿宋"/>
          <w:sz w:val="28"/>
        </w:rPr>
        <w:t>家。位居全国第13位（按照协会口径统计）。其中上交所主板29家，科创板5家，深交所主板36家、创业板28家。</w:t>
      </w:r>
    </w:p>
    <w:p>
      <w:pPr>
        <w:spacing w:line="360" w:lineRule="auto"/>
        <w:ind w:firstLine="560" w:firstLineChars="200"/>
        <w:rPr>
          <w:rFonts w:ascii="仿宋" w:hAnsi="仿宋" w:eastAsia="仿宋"/>
          <w:sz w:val="28"/>
        </w:rPr>
      </w:pPr>
      <w:r>
        <w:rPr>
          <w:rFonts w:hint="eastAsia" w:ascii="仿宋" w:hAnsi="仿宋" w:eastAsia="仿宋"/>
          <w:sz w:val="28"/>
        </w:rPr>
        <w:t>截至2023年9月30日,河南辖区A股上市公司的总市值为13,650.13亿元，占</w:t>
      </w:r>
      <w:r>
        <w:rPr>
          <w:rFonts w:ascii="仿宋" w:hAnsi="仿宋" w:eastAsia="仿宋"/>
          <w:sz w:val="28"/>
        </w:rPr>
        <w:t>A股上市公司总市值的1.51%</w:t>
      </w:r>
      <w:r>
        <w:rPr>
          <w:rFonts w:hint="eastAsia" w:ascii="仿宋" w:hAnsi="仿宋" w:eastAsia="仿宋"/>
          <w:sz w:val="28"/>
        </w:rPr>
        <w:t>。2023年河南辖区上市公司再融资（含增发、配股）募集资金总额为5</w:t>
      </w:r>
      <w:r>
        <w:rPr>
          <w:rFonts w:ascii="仿宋" w:hAnsi="仿宋" w:eastAsia="仿宋"/>
          <w:sz w:val="28"/>
        </w:rPr>
        <w:t>1</w:t>
      </w:r>
      <w:r>
        <w:rPr>
          <w:rFonts w:hint="eastAsia" w:ascii="仿宋" w:hAnsi="仿宋" w:eastAsia="仿宋"/>
          <w:sz w:val="28"/>
        </w:rPr>
        <w:t>.</w:t>
      </w:r>
      <w:r>
        <w:rPr>
          <w:rFonts w:ascii="仿宋" w:hAnsi="仿宋" w:eastAsia="仿宋"/>
          <w:sz w:val="28"/>
        </w:rPr>
        <w:t>77</w:t>
      </w:r>
      <w:r>
        <w:rPr>
          <w:rFonts w:hint="eastAsia" w:ascii="仿宋" w:hAnsi="仿宋" w:eastAsia="仿宋"/>
          <w:sz w:val="28"/>
        </w:rPr>
        <w:t>亿元。</w:t>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714875" cy="2377440"/>
            <wp:effectExtent l="0" t="0" r="9525" b="381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690745" cy="2393315"/>
            <wp:effectExtent l="0" t="0" r="14605" b="698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730750" cy="2258060"/>
            <wp:effectExtent l="0" t="0" r="12700" b="889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156" w:beforeLines="50" w:after="156" w:afterLines="50"/>
        <w:rPr>
          <w:rFonts w:ascii="仿宋" w:hAnsi="仿宋" w:eastAsia="仿宋"/>
          <w:b/>
          <w:sz w:val="28"/>
        </w:rPr>
      </w:pPr>
      <w:r>
        <w:rPr>
          <w:rFonts w:hint="eastAsia" w:ascii="仿宋" w:hAnsi="仿宋" w:eastAsia="仿宋"/>
          <w:b/>
          <w:sz w:val="28"/>
        </w:rPr>
        <w:t>四、河南辖区上市公司9月市场表现分析</w:t>
      </w:r>
    </w:p>
    <w:p>
      <w:pPr>
        <w:ind w:firstLine="560" w:firstLineChars="200"/>
        <w:rPr>
          <w:rFonts w:ascii="仿宋" w:hAnsi="仿宋" w:eastAsia="仿宋"/>
          <w:color w:val="000000" w:themeColor="text1"/>
          <w:sz w:val="28"/>
          <w14:textFill>
            <w14:solidFill>
              <w14:schemeClr w14:val="tx1"/>
            </w14:solidFill>
          </w14:textFill>
        </w:rPr>
      </w:pPr>
      <w:r>
        <w:rPr>
          <w:rFonts w:ascii="仿宋" w:hAnsi="仿宋" w:eastAsia="仿宋" w:cs="仿宋"/>
          <w:sz w:val="28"/>
          <w:szCs w:val="28"/>
        </w:rPr>
        <w:t>9</w:t>
      </w:r>
      <w:r>
        <w:rPr>
          <w:rFonts w:hint="eastAsia" w:ascii="仿宋" w:hAnsi="仿宋" w:eastAsia="仿宋" w:cs="仿宋"/>
          <w:sz w:val="28"/>
          <w:szCs w:val="28"/>
        </w:rPr>
        <w:t>月初期市场呈现普涨格局，三大指数全线上涨。</w:t>
      </w:r>
      <w:r>
        <w:rPr>
          <w:rFonts w:ascii="仿宋" w:hAnsi="仿宋" w:eastAsia="仿宋" w:cs="仿宋"/>
          <w:sz w:val="28"/>
          <w:szCs w:val="28"/>
        </w:rPr>
        <w:t>11</w:t>
      </w:r>
      <w:r>
        <w:rPr>
          <w:rFonts w:hint="eastAsia" w:ascii="仿宋" w:hAnsi="仿宋" w:eastAsia="仿宋" w:cs="仿宋"/>
          <w:sz w:val="28"/>
          <w:szCs w:val="28"/>
        </w:rPr>
        <w:t>日震荡攀升，三大指数均小幅收高。华为产业链、光刻机板块延续活跃，医药股集体大涨，房地产及家居产业链下跌调整。1</w:t>
      </w:r>
      <w:r>
        <w:rPr>
          <w:rFonts w:ascii="仿宋" w:hAnsi="仿宋" w:eastAsia="仿宋" w:cs="仿宋"/>
          <w:sz w:val="28"/>
          <w:szCs w:val="28"/>
        </w:rPr>
        <w:t>5</w:t>
      </w:r>
      <w:r>
        <w:rPr>
          <w:rFonts w:hint="eastAsia" w:ascii="仿宋" w:hAnsi="仿宋" w:eastAsia="仿宋" w:cs="仿宋"/>
          <w:sz w:val="28"/>
          <w:szCs w:val="28"/>
        </w:rPr>
        <w:t>日，大盘全天冲高回落，三大指数均小幅下跌。创业板指依旧最为弱势，延续着每日向下创低的不良惯性，沪指虽然相对较强，但依旧始终受到30日均线的压制。2</w:t>
      </w:r>
      <w:r>
        <w:rPr>
          <w:rFonts w:ascii="仿宋" w:hAnsi="仿宋" w:eastAsia="仿宋" w:cs="仿宋"/>
          <w:sz w:val="28"/>
          <w:szCs w:val="28"/>
        </w:rPr>
        <w:t>2</w:t>
      </w:r>
      <w:r>
        <w:rPr>
          <w:rFonts w:hint="eastAsia" w:ascii="仿宋" w:hAnsi="仿宋" w:eastAsia="仿宋" w:cs="仿宋"/>
          <w:sz w:val="28"/>
          <w:szCs w:val="28"/>
        </w:rPr>
        <w:t>日市场久违的迎来普涨反弹，创业板指、深成指均涨超1%。三大指数全线收涨的同时，近3900只个股飘红。其中AI概念股迎来了集体爆发。截至收盘，沪指涨0.77%，深成指涨1.23%，创业板指涨1.43%。</w:t>
      </w:r>
      <w:r>
        <w:rPr>
          <w:rFonts w:ascii="仿宋" w:hAnsi="仿宋" w:eastAsia="仿宋"/>
          <w:color w:val="000000" w:themeColor="text1"/>
          <w:sz w:val="28"/>
          <w14:textFill>
            <w14:solidFill>
              <w14:schemeClr w14:val="tx1"/>
            </w14:solidFill>
          </w14:textFill>
        </w:rPr>
        <w:t>及至月末，上证综指下跌0.73%</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3,110.48</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下跌3.39%</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10,109.53</w:t>
      </w:r>
      <w:r>
        <w:rPr>
          <w:rFonts w:hint="eastAsia" w:ascii="仿宋" w:hAnsi="仿宋" w:eastAsia="仿宋"/>
          <w:color w:val="000000" w:themeColor="text1"/>
          <w:sz w:val="28"/>
          <w14:textFill>
            <w14:solidFill>
              <w14:schemeClr w14:val="tx1"/>
            </w14:solidFill>
          </w14:textFill>
        </w:rPr>
        <w:t>点；创业板指下跌4.59%，报收</w:t>
      </w:r>
      <w:r>
        <w:rPr>
          <w:rFonts w:ascii="仿宋" w:hAnsi="仿宋" w:eastAsia="仿宋"/>
          <w:color w:val="000000" w:themeColor="text1"/>
          <w:sz w:val="28"/>
          <w14:textFill>
            <w14:solidFill>
              <w14:schemeClr w14:val="tx1"/>
            </w14:solidFill>
          </w14:textFill>
        </w:rPr>
        <w:t>2,003.91</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2023年9月，河南</w:t>
      </w:r>
      <w:r>
        <w:rPr>
          <w:rFonts w:ascii="仿宋" w:hAnsi="仿宋" w:eastAsia="仿宋"/>
          <w:sz w:val="28"/>
        </w:rPr>
        <w:t>辖区</w:t>
      </w:r>
      <w:r>
        <w:rPr>
          <w:rFonts w:hint="eastAsia" w:ascii="仿宋" w:hAnsi="仿宋" w:eastAsia="仿宋"/>
          <w:sz w:val="28"/>
        </w:rPr>
        <w:t>涨幅排名前10位的股票中，医疗保健占据4席，工业占据2席，能源、日常消费、材料和可选消费各占据1席，涨幅最大的是莲花健康，</w:t>
      </w:r>
      <w:r>
        <w:rPr>
          <w:rFonts w:ascii="仿宋" w:hAnsi="仿宋" w:eastAsia="仿宋"/>
          <w:sz w:val="28"/>
        </w:rPr>
        <w:t>上涨</w:t>
      </w:r>
      <w:r>
        <w:rPr>
          <w:rFonts w:hint="eastAsia" w:ascii="仿宋" w:hAnsi="仿宋" w:eastAsia="仿宋"/>
          <w:sz w:val="28"/>
        </w:rPr>
        <w:t>59.47%；其次是远东传动，</w:t>
      </w:r>
      <w:r>
        <w:rPr>
          <w:rFonts w:ascii="仿宋" w:hAnsi="仿宋" w:eastAsia="仿宋"/>
          <w:sz w:val="28"/>
        </w:rPr>
        <w:t>上涨</w:t>
      </w:r>
      <w:r>
        <w:rPr>
          <w:rFonts w:hint="eastAsia" w:ascii="仿宋" w:hAnsi="仿宋" w:eastAsia="仿宋"/>
          <w:sz w:val="28"/>
        </w:rPr>
        <w:t>33.92%。</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（2023-09-30）</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600186.SH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莲花健康</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59.47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5.98</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120.66</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002406.SZ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远东传动</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33.92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7.62</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63.80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林州重机</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21.27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5.53</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123.89</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601666.SH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平煤股份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20.58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10.31</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5.09</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能源</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301207.SZ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华兰疫苗</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15.45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34.00</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15.09</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600285.SH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羚锐制药</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11.52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17.91</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42.61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600810.SH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神马股份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9.84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7.48</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-1.97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600222.SH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太龙药业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8.75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5.59</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-12.24</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832225.BJ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利通科技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8.30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13.70</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137.04</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688626.SH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翔宇医疗</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7.94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44.07</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39.01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材料占据5席，日常消费和可选消费各占据2席，工业占据1席，跌幅最大的为中原传媒，下跌19.46</w:t>
      </w:r>
      <w:r>
        <w:rPr>
          <w:rFonts w:ascii="仿宋" w:hAnsi="仿宋" w:eastAsia="仿宋"/>
          <w:sz w:val="28"/>
        </w:rPr>
        <w:t>%</w:t>
      </w:r>
      <w:r>
        <w:rPr>
          <w:rFonts w:hint="eastAsia" w:ascii="仿宋" w:hAnsi="仿宋" w:eastAsia="仿宋"/>
          <w:sz w:val="28"/>
        </w:rPr>
        <w:t>;其次为瑞丰新材，下跌15.70</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（2023-09-30）</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000719.SZ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中原传媒</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-19.46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10.64</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37.38</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300910.SZ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瑞丰新材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-15.70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44.69</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-29.63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301376.SZ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致欧科技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-12.33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22.76</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hint="eastAsia" w:ascii="仿宋" w:hAnsi="仿宋" w:eastAsia="仿宋"/>
                <w:color w:val="000000"/>
                <w:szCs w:val="21"/>
              </w:rPr>
              <w:t>-</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688357.SH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建龙微纳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-11.77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50.38</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-35.67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001215.SZ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千味央厨</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-10.69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58.55</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-10.48</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300437.SZ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清水源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-9.22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13.49</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-21.57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600531.SH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豫光金铅</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-8.24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6.57</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28.61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688517.SH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金冠电气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-7.35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15.88</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39.41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601677.SH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明泰铝业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-6.71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13.06</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-27.10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002714.SZ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牧原股份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-6.63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37.89</w:t>
            </w:r>
          </w:p>
        </w:tc>
        <w:tc>
          <w:tcPr>
            <w:tcW w:w="1767" w:type="dxa"/>
            <w:tcBorders>
              <w:top w:val="single" w:color="auto" w:sz="4" w:space="0"/>
              <w:left w:val="nil"/>
              <w:bottom w:val="single" w:color="auto" w:sz="4" w:space="0"/>
              <w:right w:val="single" w:color="auto" w:sz="4" w:space="0"/>
            </w:tcBorders>
            <w:shd w:val="clear" w:color="auto" w:fill="auto"/>
          </w:tcPr>
          <w:p>
            <w:pPr>
              <w:jc w:val="center"/>
              <w:rPr>
                <w:rFonts w:ascii="仿宋" w:hAnsi="仿宋" w:eastAsia="仿宋"/>
                <w:color w:val="000000"/>
                <w:szCs w:val="21"/>
              </w:rPr>
            </w:pPr>
            <w:r>
              <w:rPr>
                <w:rFonts w:ascii="仿宋" w:hAnsi="仿宋" w:eastAsia="仿宋"/>
                <w:color w:val="000000"/>
                <w:szCs w:val="21"/>
              </w:rPr>
              <w:t>-20.91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bl>
    <w:p>
      <w:pPr>
        <w:spacing w:before="156" w:beforeLines="50" w:after="156" w:afterLines="5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9月重大事项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jc w:val="center"/>
        <w:rPr>
          <w:rFonts w:ascii="仿宋" w:hAnsi="仿宋" w:eastAsia="仿宋"/>
          <w:b/>
          <w:sz w:val="24"/>
        </w:rPr>
      </w:pPr>
      <w:r>
        <w:rPr>
          <w:rFonts w:hint="eastAsia" w:ascii="仿宋" w:hAnsi="仿宋" w:eastAsia="仿宋"/>
          <w:b/>
          <w:sz w:val="24"/>
        </w:rPr>
        <w:t>表3  IPO相关情况</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7"/>
        <w:gridCol w:w="987"/>
        <w:gridCol w:w="3235"/>
        <w:gridCol w:w="126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b/>
                <w:szCs w:val="21"/>
              </w:rPr>
            </w:pPr>
            <w:r>
              <w:rPr>
                <w:rFonts w:hint="eastAsia" w:ascii="仿宋" w:hAnsi="仿宋" w:eastAsia="仿宋"/>
                <w:b/>
                <w:szCs w:val="21"/>
              </w:rPr>
              <w:t>序号</w:t>
            </w:r>
          </w:p>
        </w:tc>
        <w:tc>
          <w:tcPr>
            <w:tcW w:w="851" w:type="dxa"/>
            <w:vAlign w:val="center"/>
          </w:tcPr>
          <w:p>
            <w:pPr>
              <w:jc w:val="center"/>
              <w:rPr>
                <w:rFonts w:ascii="仿宋" w:hAnsi="仿宋" w:eastAsia="仿宋"/>
                <w:b/>
                <w:szCs w:val="21"/>
              </w:rPr>
            </w:pPr>
            <w:r>
              <w:rPr>
                <w:rFonts w:hint="eastAsia" w:ascii="仿宋" w:hAnsi="仿宋" w:eastAsia="仿宋"/>
                <w:b/>
                <w:szCs w:val="21"/>
              </w:rPr>
              <w:t>交易所</w:t>
            </w:r>
          </w:p>
        </w:tc>
        <w:tc>
          <w:tcPr>
            <w:tcW w:w="992" w:type="dxa"/>
            <w:vAlign w:val="center"/>
          </w:tcPr>
          <w:p>
            <w:pPr>
              <w:jc w:val="center"/>
              <w:rPr>
                <w:rFonts w:ascii="仿宋" w:hAnsi="仿宋" w:eastAsia="仿宋"/>
                <w:b/>
                <w:szCs w:val="21"/>
              </w:rPr>
            </w:pPr>
            <w:r>
              <w:rPr>
                <w:rFonts w:hint="eastAsia" w:ascii="仿宋" w:hAnsi="仿宋" w:eastAsia="仿宋"/>
                <w:b/>
                <w:szCs w:val="21"/>
              </w:rPr>
              <w:t>板块</w:t>
            </w:r>
          </w:p>
        </w:tc>
        <w:tc>
          <w:tcPr>
            <w:tcW w:w="3260" w:type="dxa"/>
            <w:vAlign w:val="center"/>
          </w:tcPr>
          <w:p>
            <w:pPr>
              <w:jc w:val="center"/>
              <w:rPr>
                <w:rFonts w:ascii="仿宋" w:hAnsi="仿宋" w:eastAsia="仿宋"/>
                <w:b/>
                <w:szCs w:val="21"/>
              </w:rPr>
            </w:pPr>
            <w:r>
              <w:rPr>
                <w:rFonts w:hint="eastAsia" w:ascii="仿宋" w:hAnsi="仿宋" w:eastAsia="仿宋"/>
                <w:b/>
                <w:szCs w:val="21"/>
              </w:rPr>
              <w:t>公司名称</w:t>
            </w:r>
          </w:p>
        </w:tc>
        <w:tc>
          <w:tcPr>
            <w:tcW w:w="1276" w:type="dxa"/>
            <w:vAlign w:val="center"/>
          </w:tcPr>
          <w:p>
            <w:pPr>
              <w:jc w:val="center"/>
              <w:rPr>
                <w:rFonts w:ascii="仿宋" w:hAnsi="仿宋" w:eastAsia="仿宋"/>
                <w:b/>
                <w:szCs w:val="21"/>
              </w:rPr>
            </w:pPr>
            <w:r>
              <w:rPr>
                <w:rFonts w:ascii="仿宋" w:hAnsi="仿宋" w:eastAsia="仿宋"/>
                <w:b/>
                <w:szCs w:val="21"/>
              </w:rPr>
              <w:t>状态</w:t>
            </w:r>
          </w:p>
        </w:tc>
        <w:tc>
          <w:tcPr>
            <w:tcW w:w="1276" w:type="dxa"/>
            <w:vAlign w:val="center"/>
          </w:tcPr>
          <w:p>
            <w:pPr>
              <w:jc w:val="center"/>
              <w:rPr>
                <w:rFonts w:ascii="仿宋" w:hAnsi="仿宋" w:eastAsia="仿宋"/>
                <w:b/>
                <w:szCs w:val="21"/>
              </w:rPr>
            </w:pPr>
            <w:r>
              <w:rPr>
                <w:rFonts w:hint="eastAsia" w:ascii="仿宋" w:hAnsi="仿宋" w:eastAsia="仿宋"/>
                <w:b/>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b/>
                <w:szCs w:val="21"/>
              </w:rPr>
            </w:pPr>
            <w:r>
              <w:rPr>
                <w:rFonts w:hint="eastAsia" w:ascii="仿宋" w:hAnsi="仿宋" w:eastAsia="仿宋"/>
                <w:szCs w:val="21"/>
              </w:rPr>
              <w:t>1</w:t>
            </w:r>
          </w:p>
        </w:tc>
        <w:tc>
          <w:tcPr>
            <w:tcW w:w="851" w:type="dxa"/>
            <w:vAlign w:val="center"/>
          </w:tcPr>
          <w:p>
            <w:pPr>
              <w:jc w:val="center"/>
              <w:rPr>
                <w:rFonts w:ascii="仿宋" w:hAnsi="仿宋" w:eastAsia="仿宋"/>
                <w:szCs w:val="21"/>
              </w:rPr>
            </w:pPr>
            <w:r>
              <w:rPr>
                <w:rFonts w:hint="eastAsia" w:ascii="仿宋" w:hAnsi="仿宋" w:eastAsia="仿宋"/>
                <w:szCs w:val="21"/>
              </w:rPr>
              <w:t>北京</w:t>
            </w:r>
          </w:p>
        </w:tc>
        <w:tc>
          <w:tcPr>
            <w:tcW w:w="992" w:type="dxa"/>
            <w:vAlign w:val="center"/>
          </w:tcPr>
          <w:p>
            <w:pPr>
              <w:jc w:val="center"/>
              <w:rPr>
                <w:rFonts w:ascii="仿宋" w:hAnsi="仿宋" w:eastAsia="仿宋"/>
                <w:szCs w:val="21"/>
              </w:rPr>
            </w:pPr>
            <w:r>
              <w:rPr>
                <w:rFonts w:hint="eastAsia" w:ascii="仿宋" w:hAnsi="仿宋" w:eastAsia="仿宋"/>
                <w:szCs w:val="21"/>
              </w:rPr>
              <w:t>北交所</w:t>
            </w:r>
          </w:p>
        </w:tc>
        <w:tc>
          <w:tcPr>
            <w:tcW w:w="3260" w:type="dxa"/>
            <w:vAlign w:val="center"/>
          </w:tcPr>
          <w:p>
            <w:pPr>
              <w:jc w:val="center"/>
              <w:rPr>
                <w:rFonts w:ascii="仿宋" w:hAnsi="仿宋" w:eastAsia="仿宋"/>
                <w:szCs w:val="21"/>
              </w:rPr>
            </w:pPr>
            <w:r>
              <w:rPr>
                <w:rFonts w:hint="eastAsia" w:ascii="仿宋" w:hAnsi="仿宋" w:eastAsia="仿宋"/>
                <w:szCs w:val="21"/>
              </w:rPr>
              <w:t>许昌智能继电器股份有限公司</w:t>
            </w:r>
          </w:p>
        </w:tc>
        <w:tc>
          <w:tcPr>
            <w:tcW w:w="1276" w:type="dxa"/>
            <w:vAlign w:val="center"/>
          </w:tcPr>
          <w:p>
            <w:pPr>
              <w:jc w:val="center"/>
              <w:rPr>
                <w:rFonts w:ascii="仿宋" w:hAnsi="仿宋" w:eastAsia="仿宋"/>
                <w:szCs w:val="21"/>
              </w:rPr>
            </w:pPr>
            <w:r>
              <w:rPr>
                <w:rFonts w:ascii="仿宋" w:hAnsi="仿宋" w:eastAsia="仿宋"/>
                <w:szCs w:val="21"/>
              </w:rPr>
              <w:t>过会</w:t>
            </w:r>
          </w:p>
        </w:tc>
        <w:tc>
          <w:tcPr>
            <w:tcW w:w="1276" w:type="dxa"/>
            <w:vAlign w:val="center"/>
          </w:tcPr>
          <w:p>
            <w:pPr>
              <w:jc w:val="center"/>
              <w:rPr>
                <w:rFonts w:ascii="仿宋" w:hAnsi="仿宋" w:eastAsia="仿宋"/>
                <w:szCs w:val="21"/>
              </w:rPr>
            </w:pPr>
            <w:r>
              <w:rPr>
                <w:rFonts w:hint="eastAsia" w:ascii="仿宋" w:hAnsi="仿宋" w:eastAsia="仿宋"/>
                <w:szCs w:val="21"/>
              </w:rPr>
              <w:t>2023-09-14</w:t>
            </w:r>
          </w:p>
        </w:tc>
      </w:tr>
    </w:tbl>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ind w:firstLine="560" w:firstLineChars="200"/>
        <w:rPr>
          <w:rFonts w:hint="eastAsia" w:ascii="仿宋" w:hAnsi="仿宋" w:eastAsia="仿宋"/>
          <w:sz w:val="28"/>
        </w:rPr>
      </w:pPr>
      <w:r>
        <w:rPr>
          <w:rFonts w:hint="eastAsia" w:ascii="仿宋" w:hAnsi="仿宋" w:eastAsia="仿宋"/>
          <w:sz w:val="28"/>
        </w:rPr>
        <w:t>本月无再融资实施完成事项。</w:t>
      </w:r>
    </w:p>
    <w:p>
      <w:pPr>
        <w:spacing w:before="156" w:beforeLines="50" w:after="156" w:afterLines="50"/>
        <w:jc w:val="center"/>
        <w:rPr>
          <w:rFonts w:ascii="仿宋" w:hAnsi="仿宋" w:eastAsia="仿宋"/>
          <w:b/>
          <w:sz w:val="24"/>
        </w:rPr>
      </w:pPr>
      <w:r>
        <w:rPr>
          <w:rFonts w:ascii="仿宋" w:hAnsi="仿宋" w:eastAsia="仿宋"/>
          <w:b/>
          <w:sz w:val="24"/>
        </w:rPr>
        <w:t>表4  对外投资事项</w:t>
      </w:r>
    </w:p>
    <w:tbl>
      <w:tblPr>
        <w:tblStyle w:val="9"/>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300908.SZ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仲景食品</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近日，公司使用部分暂时闲置自有资金进行了现金管理。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300829.SZ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金丹科技</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公司近日使用部分闲置募集资金在授权范围内购买了理财产品。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300259.SZ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新天科技</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新天科技股份有限公司近期购买了理财。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河南凯旺电子科技股份有限公司近期购买了理财。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公司近日使用闲置自有资金购买了理财产品。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300845.SZ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捷安高科</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本次购买的理财产品。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2023-09-16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002179.SZ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中航光电</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近日，子公司中航光电（广东）有限公司向中国建设银行股份有限公司洛阳分行申购1笔结构性存款，金额14,000万元。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2023-09-16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300480.SZ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光力科技</w:t>
            </w:r>
          </w:p>
        </w:tc>
        <w:tc>
          <w:tcPr>
            <w:tcW w:w="6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近日，公司使用部分暂时闲置募集资金购买了部分银行理财产品。</w:t>
            </w:r>
          </w:p>
        </w:tc>
      </w:tr>
    </w:tbl>
    <w:p>
      <w:pPr>
        <w:spacing w:before="156" w:beforeLines="50" w:after="156" w:afterLines="50"/>
        <w:jc w:val="center"/>
        <w:rPr>
          <w:rFonts w:ascii="仿宋" w:hAnsi="仿宋" w:eastAsia="仿宋"/>
          <w:b/>
          <w:sz w:val="24"/>
        </w:rPr>
      </w:pPr>
      <w:r>
        <w:rPr>
          <w:rFonts w:hint="eastAsia" w:ascii="仿宋" w:hAnsi="仿宋" w:eastAsia="仿宋"/>
          <w:b/>
          <w:sz w:val="24"/>
        </w:rPr>
        <w:t>表5　再融资预案披露事项</w:t>
      </w:r>
    </w:p>
    <w:tbl>
      <w:tblPr>
        <w:tblStyle w:val="9"/>
        <w:tblW w:w="10657" w:type="dxa"/>
        <w:jc w:val="center"/>
        <w:tblLayout w:type="fixed"/>
        <w:tblCellMar>
          <w:top w:w="0" w:type="dxa"/>
          <w:left w:w="108" w:type="dxa"/>
          <w:bottom w:w="0" w:type="dxa"/>
          <w:right w:w="108" w:type="dxa"/>
        </w:tblCellMar>
      </w:tblPr>
      <w:tblGrid>
        <w:gridCol w:w="773"/>
        <w:gridCol w:w="1363"/>
        <w:gridCol w:w="1363"/>
        <w:gridCol w:w="1177"/>
        <w:gridCol w:w="1081"/>
        <w:gridCol w:w="1081"/>
        <w:gridCol w:w="1081"/>
        <w:gridCol w:w="1605"/>
        <w:gridCol w:w="1133"/>
      </w:tblGrid>
      <w:tr>
        <w:tblPrEx>
          <w:tblCellMar>
            <w:top w:w="0" w:type="dxa"/>
            <w:left w:w="108" w:type="dxa"/>
            <w:bottom w:w="0" w:type="dxa"/>
            <w:right w:w="108" w:type="dxa"/>
          </w:tblCellMar>
        </w:tblPrEx>
        <w:trPr>
          <w:trHeight w:val="27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11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11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2022-05-11</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2023-09-26</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600531.SH</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豫光金铅</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股东大会通过</w:t>
            </w:r>
          </w:p>
        </w:tc>
        <w:tc>
          <w:tcPr>
            <w:tcW w:w="11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14.70</w:t>
            </w:r>
          </w:p>
        </w:tc>
      </w:tr>
    </w:tbl>
    <w:p>
      <w:pPr>
        <w:spacing w:before="156" w:beforeLines="50" w:after="156" w:afterLines="50"/>
        <w:jc w:val="center"/>
        <w:rPr>
          <w:rFonts w:ascii="仿宋" w:hAnsi="仿宋" w:eastAsia="仿宋"/>
          <w:b/>
          <w:sz w:val="24"/>
        </w:rPr>
      </w:pPr>
      <w:r>
        <w:rPr>
          <w:rFonts w:ascii="仿宋" w:hAnsi="仿宋" w:eastAsia="仿宋"/>
          <w:b/>
          <w:sz w:val="24"/>
        </w:rPr>
        <w:t>表6　上市公司重大资产重组事项</w:t>
      </w:r>
    </w:p>
    <w:tbl>
      <w:tblPr>
        <w:tblStyle w:val="9"/>
        <w:tblW w:w="10477" w:type="dxa"/>
        <w:jc w:val="center"/>
        <w:tblLayout w:type="fixed"/>
        <w:tblCellMar>
          <w:top w:w="0" w:type="dxa"/>
          <w:left w:w="108" w:type="dxa"/>
          <w:bottom w:w="0" w:type="dxa"/>
          <w:right w:w="108" w:type="dxa"/>
        </w:tblCellMar>
      </w:tblPr>
      <w:tblGrid>
        <w:gridCol w:w="818"/>
        <w:gridCol w:w="1341"/>
        <w:gridCol w:w="1227"/>
        <w:gridCol w:w="1347"/>
        <w:gridCol w:w="1347"/>
        <w:gridCol w:w="1347"/>
        <w:gridCol w:w="1227"/>
        <w:gridCol w:w="1823"/>
      </w:tblGrid>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182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2023-09-28</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股东大会通过</w:t>
            </w:r>
          </w:p>
        </w:tc>
        <w:tc>
          <w:tcPr>
            <w:tcW w:w="182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森霸传感收购格林通67%股权。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3.业绩与分红</w:t>
      </w:r>
    </w:p>
    <w:p>
      <w:pPr>
        <w:spacing w:before="312" w:beforeLines="100" w:after="156" w:afterLines="50"/>
        <w:ind w:firstLine="560" w:firstLineChars="200"/>
        <w:rPr>
          <w:rFonts w:ascii="仿宋" w:hAnsi="仿宋" w:eastAsia="仿宋"/>
          <w:sz w:val="28"/>
        </w:rPr>
      </w:pPr>
      <w:r>
        <w:rPr>
          <w:rFonts w:ascii="仿宋" w:hAnsi="仿宋" w:eastAsia="仿宋"/>
          <w:sz w:val="28"/>
        </w:rPr>
        <w:t>本月辖区内披露业绩预告/快报</w:t>
      </w:r>
      <w:r>
        <w:rPr>
          <w:rFonts w:hint="eastAsia" w:ascii="仿宋" w:hAnsi="仿宋" w:eastAsia="仿宋"/>
          <w:sz w:val="28"/>
        </w:rPr>
        <w:t>的上市公司共1</w:t>
      </w:r>
      <w:r>
        <w:rPr>
          <w:rFonts w:ascii="仿宋" w:hAnsi="仿宋" w:eastAsia="仿宋"/>
          <w:sz w:val="28"/>
        </w:rPr>
        <w:t>家，其中，</w:t>
      </w:r>
      <w:r>
        <w:rPr>
          <w:rFonts w:hint="eastAsia" w:ascii="仿宋" w:hAnsi="仿宋" w:eastAsia="仿宋"/>
          <w:sz w:val="28"/>
        </w:rPr>
        <w:t>1家上市公司披露业绩预告：1家业绩预盈；无分红派息事项。</w:t>
      </w:r>
    </w:p>
    <w:p>
      <w:pPr>
        <w:spacing w:before="156" w:beforeLines="50" w:after="156" w:afterLines="50"/>
        <w:jc w:val="center"/>
        <w:rPr>
          <w:rFonts w:ascii="仿宋" w:hAnsi="仿宋" w:eastAsia="仿宋"/>
          <w:b/>
          <w:sz w:val="24"/>
        </w:rPr>
      </w:pPr>
      <w:r>
        <w:rPr>
          <w:rFonts w:ascii="仿宋" w:hAnsi="仿宋" w:eastAsia="仿宋"/>
          <w:b/>
          <w:sz w:val="24"/>
        </w:rPr>
        <w:t>表7　业绩预告/快报事项</w:t>
      </w:r>
    </w:p>
    <w:tbl>
      <w:tblPr>
        <w:tblStyle w:val="10"/>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276"/>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13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470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2023-09-27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603508.SH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思维列控</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706"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第1次2023年三季报业绩预告，公司业绩：略增。 预测业绩：净利润约22,300.00万元~26,200.00万元。较去年同期净利润19,426.02万元，变化约为15.00%~35.00%。</w:t>
            </w:r>
          </w:p>
        </w:tc>
      </w:tr>
    </w:tbl>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ind w:firstLine="481" w:firstLineChars="200"/>
        <w:jc w:val="center"/>
        <w:rPr>
          <w:rFonts w:ascii="仿宋" w:hAnsi="仿宋" w:eastAsia="仿宋"/>
          <w:b/>
          <w:sz w:val="24"/>
          <w:szCs w:val="30"/>
        </w:rPr>
      </w:pPr>
      <w:r>
        <w:rPr>
          <w:rFonts w:ascii="仿宋" w:hAnsi="仿宋" w:eastAsia="仿宋"/>
          <w:b/>
          <w:sz w:val="24"/>
          <w:szCs w:val="30"/>
        </w:rPr>
        <w:t>表8　股东增/减持公司股票事项</w:t>
      </w:r>
    </w:p>
    <w:tbl>
      <w:tblPr>
        <w:tblStyle w:val="9"/>
        <w:tblW w:w="10627" w:type="dxa"/>
        <w:jc w:val="center"/>
        <w:tblLayout w:type="fixed"/>
        <w:tblCellMar>
          <w:top w:w="0" w:type="dxa"/>
          <w:left w:w="108" w:type="dxa"/>
          <w:bottom w:w="0" w:type="dxa"/>
          <w:right w:w="108" w:type="dxa"/>
        </w:tblCellMar>
      </w:tblPr>
      <w:tblGrid>
        <w:gridCol w:w="796"/>
        <w:gridCol w:w="1266"/>
        <w:gridCol w:w="1281"/>
        <w:gridCol w:w="1134"/>
        <w:gridCol w:w="1559"/>
        <w:gridCol w:w="4591"/>
      </w:tblGrid>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459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2023-09-21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600810.SH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神马股份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截至本公告披露日，增持主体以自有资金通过上海证券交易所交易系统以集中竞价交易方式累计增持公司股份95,000股，占目前公司总股本的0.0091%。</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2023-09-21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601666.SH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平煤股份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截至本公告披露日，董事长李延河先生，董事、总经理张国川先生，董事张建国先生、李庆明先生、吴昕先生、陈金伟先生，董事、董事会秘书许尽峰先生，董事、财务总监张后军先生，职工董事王羊娃先生，副总经理焦振营先生、岳殿召先生、韩群亮先生及其一致行动人以自有资金通过上海证券交易所交易系统以集中交易竞价方式累计增持公司股份220,500股，占目前公司总股本的0.0095%。合计持有本公司股份602,400股，占公司总股本的0.0260%</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2023-09-11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002132.SZ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恒星科技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2023-09-07至2023-09-11，焦会芬增持300万股公司股份。截止2023-09-16，持有股份数量为421.94万股，占流通股份总数比例为0.3%。</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2023-08-22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2023-08-22，王月娥增持0.09万股公司股份，平均增持价格为4.79CNY。截止2023-09-11，持有股份数量为0.09万股，占流通股份总数比例为0%。</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2023-07-24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2023-07-24，张会涛增持0.09万股公司股份，平均增持价格为3.97CNY。截止2023-09-23，持有股份数量为0.09万股，占流通股份总数比例为0%。</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2023-06-26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2023-06-26，张会涛增持0.07万股公司股份，平均增持价格为4.09CNY。截止2023-09-23，持有股份数量为0.07万股，占流通股份总数比例为0%。</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2023-05-25</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2023-05-25，宋萌萌增持0.01万股公司股份，平均增持价格为4.3CNY。截止2023-09-23，持有股份数量为0.03万股，占流通股份总数比例为0%。</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2023-09-28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301207.SZ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华兰疫苗</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2023-07-17至2023-09-28，河南骅盈企业管理咨询合伙企业(有限合伙)减持472.92万股公司股份。截止2023-09-28，持有股份数量为3000.07万股，占流通股份总数比例为21.28%。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2023-09-14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300614.SZ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百川畅银</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2023-09-14，上海建新创业投资中心(有限合伙)减持16.27万股公司股份，平均减持价格为22.51CNY。截止2023-09-28，持有股份数量为392.88万股，占流通股份总数比例为4.41%。</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2023-09-08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2023-09-08，王月娥减持0.09万股公司股份，平均减持价格为4.99CNY。</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2023-09-05</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2023-09-05，宋萌萌减持0.03万股公司股份。</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2023-09-04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832225.BJ</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利通科技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2023-07-18至2023-09-04，漯河市祥鑫企业管理咨询合伙企业(有限合伙)减持24.25万股公司股份，平均减持价格为8.8979CNY。截止2023-09-05，持有股份数量为560.29万股，占流通股份总数比例为9.72%。</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2023-08-31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600285.SH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羚锐制药</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2023-06-01至2023-08-31，新县鑫源贸易有限公司减持366.76万股公司股份</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2023-08-28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002132.SZ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恒星科技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2023-08-28，谢保军减持2600万股公司股份：其中通过大宗交易系统减持2600万股公司股份。截止2023-09-16，持有股份数量为2.4亿股流通股份，占流通股份总数比例为17.14%。</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2023-07-31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2023-07-31，张会涛减持0.09万股公司股份，平均减持价格为4.14CNY。</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2023-07-03</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600172.SH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黄河旋风</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59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2023-07-03，张会涛减持0.07万股公司股份，平均减持价格为4.34CNY。</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表9　9月董事长、董秘变动情况</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276"/>
        <w:gridCol w:w="1134"/>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701" w:type="dxa"/>
          </w:tcPr>
          <w:p>
            <w:pPr>
              <w:jc w:val="center"/>
              <w:rPr>
                <w:rFonts w:ascii="仿宋" w:hAnsi="仿宋" w:eastAsia="仿宋"/>
                <w:b/>
                <w:szCs w:val="21"/>
              </w:rPr>
            </w:pPr>
            <w:r>
              <w:rPr>
                <w:rFonts w:hint="eastAsia" w:ascii="仿宋" w:hAnsi="仿宋" w:eastAsia="仿宋"/>
                <w:b/>
                <w:szCs w:val="21"/>
              </w:rPr>
              <w:t>披露日期</w:t>
            </w:r>
          </w:p>
        </w:tc>
        <w:tc>
          <w:tcPr>
            <w:tcW w:w="1276" w:type="dxa"/>
          </w:tcPr>
          <w:p>
            <w:pPr>
              <w:jc w:val="center"/>
              <w:rPr>
                <w:rFonts w:ascii="仿宋" w:hAnsi="仿宋" w:eastAsia="仿宋"/>
                <w:b/>
                <w:szCs w:val="21"/>
              </w:rPr>
            </w:pPr>
            <w:r>
              <w:rPr>
                <w:rFonts w:hint="eastAsia" w:ascii="仿宋" w:hAnsi="仿宋" w:eastAsia="仿宋"/>
                <w:b/>
                <w:szCs w:val="21"/>
              </w:rPr>
              <w:t>证券代码</w:t>
            </w:r>
          </w:p>
        </w:tc>
        <w:tc>
          <w:tcPr>
            <w:tcW w:w="1134" w:type="dxa"/>
          </w:tcPr>
          <w:p>
            <w:pPr>
              <w:jc w:val="center"/>
              <w:rPr>
                <w:rFonts w:ascii="仿宋" w:hAnsi="仿宋" w:eastAsia="仿宋"/>
                <w:b/>
                <w:szCs w:val="21"/>
              </w:rPr>
            </w:pPr>
            <w:r>
              <w:rPr>
                <w:rFonts w:hint="eastAsia" w:ascii="仿宋" w:hAnsi="仿宋" w:eastAsia="仿宋"/>
                <w:b/>
                <w:szCs w:val="21"/>
              </w:rPr>
              <w:t>证券名称</w:t>
            </w:r>
          </w:p>
        </w:tc>
        <w:tc>
          <w:tcPr>
            <w:tcW w:w="3723"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1</w:t>
            </w:r>
          </w:p>
        </w:tc>
        <w:tc>
          <w:tcPr>
            <w:tcW w:w="1701" w:type="dxa"/>
            <w:vAlign w:val="center"/>
          </w:tcPr>
          <w:p>
            <w:pPr>
              <w:jc w:val="center"/>
              <w:rPr>
                <w:rFonts w:ascii="仿宋" w:hAnsi="仿宋" w:eastAsia="仿宋"/>
                <w:szCs w:val="21"/>
              </w:rPr>
            </w:pPr>
            <w:r>
              <w:rPr>
                <w:rFonts w:hint="eastAsia" w:ascii="仿宋" w:hAnsi="仿宋" w:eastAsia="仿宋"/>
                <w:szCs w:val="21"/>
              </w:rPr>
              <w:t>2023-09-28</w:t>
            </w:r>
          </w:p>
        </w:tc>
        <w:tc>
          <w:tcPr>
            <w:tcW w:w="1276" w:type="dxa"/>
            <w:vAlign w:val="center"/>
          </w:tcPr>
          <w:p>
            <w:pPr>
              <w:jc w:val="center"/>
              <w:rPr>
                <w:rFonts w:ascii="仿宋" w:hAnsi="仿宋" w:eastAsia="仿宋"/>
                <w:szCs w:val="21"/>
              </w:rPr>
            </w:pPr>
            <w:r>
              <w:rPr>
                <w:rFonts w:hint="eastAsia" w:ascii="仿宋" w:hAnsi="仿宋" w:eastAsia="仿宋"/>
                <w:szCs w:val="21"/>
              </w:rPr>
              <w:t>600186.SH</w:t>
            </w:r>
          </w:p>
        </w:tc>
        <w:tc>
          <w:tcPr>
            <w:tcW w:w="1134" w:type="dxa"/>
            <w:vAlign w:val="center"/>
          </w:tcPr>
          <w:p>
            <w:pPr>
              <w:jc w:val="center"/>
              <w:rPr>
                <w:rFonts w:ascii="仿宋" w:hAnsi="仿宋" w:eastAsia="仿宋"/>
                <w:szCs w:val="21"/>
              </w:rPr>
            </w:pPr>
            <w:r>
              <w:rPr>
                <w:rFonts w:hint="eastAsia" w:ascii="仿宋" w:hAnsi="仿宋" w:eastAsia="仿宋"/>
                <w:szCs w:val="21"/>
              </w:rPr>
              <w:t>莲花健康</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新聘董事会秘书曹家胜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2023-09-28</w:t>
            </w:r>
          </w:p>
        </w:tc>
        <w:tc>
          <w:tcPr>
            <w:tcW w:w="1276" w:type="dxa"/>
            <w:vAlign w:val="center"/>
          </w:tcPr>
          <w:p>
            <w:pPr>
              <w:jc w:val="center"/>
              <w:rPr>
                <w:rFonts w:ascii="仿宋" w:hAnsi="仿宋" w:eastAsia="仿宋"/>
                <w:szCs w:val="21"/>
              </w:rPr>
            </w:pPr>
            <w:r>
              <w:rPr>
                <w:rFonts w:hint="eastAsia" w:ascii="仿宋" w:hAnsi="仿宋" w:eastAsia="仿宋"/>
                <w:szCs w:val="21"/>
              </w:rPr>
              <w:t>600186.SH</w:t>
            </w:r>
          </w:p>
        </w:tc>
        <w:tc>
          <w:tcPr>
            <w:tcW w:w="1134" w:type="dxa"/>
            <w:vAlign w:val="center"/>
          </w:tcPr>
          <w:p>
            <w:pPr>
              <w:jc w:val="center"/>
              <w:rPr>
                <w:rFonts w:ascii="仿宋" w:hAnsi="仿宋" w:eastAsia="仿宋"/>
                <w:szCs w:val="21"/>
              </w:rPr>
            </w:pPr>
            <w:r>
              <w:rPr>
                <w:rFonts w:hint="eastAsia" w:ascii="仿宋" w:hAnsi="仿宋" w:eastAsia="仿宋"/>
                <w:szCs w:val="21"/>
              </w:rPr>
              <w:t>莲花健康</w:t>
            </w:r>
          </w:p>
        </w:tc>
        <w:tc>
          <w:tcPr>
            <w:tcW w:w="3723" w:type="dxa"/>
            <w:vAlign w:val="center"/>
          </w:tcPr>
          <w:p>
            <w:pPr>
              <w:jc w:val="center"/>
              <w:rPr>
                <w:rFonts w:ascii="仿宋" w:hAnsi="仿宋" w:eastAsia="仿宋"/>
                <w:szCs w:val="21"/>
              </w:rPr>
            </w:pPr>
            <w:r>
              <w:rPr>
                <w:rFonts w:hint="eastAsia" w:ascii="仿宋" w:hAnsi="仿宋" w:eastAsia="仿宋"/>
                <w:szCs w:val="21"/>
              </w:rPr>
              <w:t>董事会秘书罗贤辉离任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2</w:t>
            </w:r>
          </w:p>
        </w:tc>
        <w:tc>
          <w:tcPr>
            <w:tcW w:w="1701" w:type="dxa"/>
            <w:vAlign w:val="center"/>
          </w:tcPr>
          <w:p>
            <w:pPr>
              <w:jc w:val="center"/>
              <w:rPr>
                <w:rFonts w:ascii="仿宋" w:hAnsi="仿宋" w:eastAsia="仿宋"/>
                <w:szCs w:val="21"/>
              </w:rPr>
            </w:pPr>
            <w:r>
              <w:rPr>
                <w:rFonts w:hint="eastAsia" w:ascii="仿宋" w:hAnsi="仿宋" w:eastAsia="仿宋"/>
                <w:szCs w:val="21"/>
              </w:rPr>
              <w:t>2023-09-15</w:t>
            </w:r>
          </w:p>
        </w:tc>
        <w:tc>
          <w:tcPr>
            <w:tcW w:w="1276" w:type="dxa"/>
            <w:vAlign w:val="center"/>
          </w:tcPr>
          <w:p>
            <w:pPr>
              <w:jc w:val="center"/>
              <w:rPr>
                <w:rFonts w:ascii="仿宋" w:hAnsi="仿宋" w:eastAsia="仿宋"/>
                <w:szCs w:val="21"/>
              </w:rPr>
            </w:pPr>
            <w:r>
              <w:rPr>
                <w:rFonts w:hint="eastAsia" w:ascii="仿宋" w:hAnsi="仿宋" w:eastAsia="仿宋"/>
                <w:szCs w:val="21"/>
              </w:rPr>
              <w:t>839725.BJ</w:t>
            </w:r>
          </w:p>
        </w:tc>
        <w:tc>
          <w:tcPr>
            <w:tcW w:w="1134" w:type="dxa"/>
            <w:vAlign w:val="center"/>
          </w:tcPr>
          <w:p>
            <w:pPr>
              <w:jc w:val="center"/>
              <w:rPr>
                <w:rFonts w:ascii="仿宋" w:hAnsi="仿宋" w:eastAsia="仿宋"/>
                <w:szCs w:val="21"/>
              </w:rPr>
            </w:pPr>
            <w:r>
              <w:rPr>
                <w:rFonts w:hint="eastAsia" w:ascii="仿宋" w:hAnsi="仿宋" w:eastAsia="仿宋"/>
                <w:szCs w:val="21"/>
              </w:rPr>
              <w:t>惠丰钻石</w:t>
            </w:r>
          </w:p>
        </w:tc>
        <w:tc>
          <w:tcPr>
            <w:tcW w:w="3723" w:type="dxa"/>
            <w:vAlign w:val="center"/>
          </w:tcPr>
          <w:p>
            <w:pPr>
              <w:jc w:val="center"/>
              <w:rPr>
                <w:rFonts w:ascii="仿宋" w:hAnsi="仿宋" w:eastAsia="仿宋"/>
                <w:szCs w:val="21"/>
              </w:rPr>
            </w:pPr>
            <w:r>
              <w:rPr>
                <w:rFonts w:hint="eastAsia" w:ascii="仿宋" w:hAnsi="仿宋" w:eastAsia="仿宋"/>
                <w:szCs w:val="21"/>
              </w:rPr>
              <w:t>董事会秘书王坤离任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701" w:type="dxa"/>
            <w:vAlign w:val="center"/>
          </w:tcPr>
          <w:p>
            <w:pPr>
              <w:jc w:val="center"/>
              <w:rPr>
                <w:rFonts w:ascii="仿宋" w:hAnsi="仿宋" w:eastAsia="仿宋"/>
                <w:szCs w:val="21"/>
              </w:rPr>
            </w:pPr>
            <w:r>
              <w:rPr>
                <w:rFonts w:hint="eastAsia" w:ascii="仿宋" w:hAnsi="仿宋" w:eastAsia="仿宋"/>
                <w:szCs w:val="21"/>
              </w:rPr>
              <w:t>2023-09-05</w:t>
            </w:r>
          </w:p>
        </w:tc>
        <w:tc>
          <w:tcPr>
            <w:tcW w:w="1276" w:type="dxa"/>
            <w:vAlign w:val="center"/>
          </w:tcPr>
          <w:p>
            <w:pPr>
              <w:jc w:val="center"/>
              <w:rPr>
                <w:rFonts w:ascii="仿宋" w:hAnsi="仿宋" w:eastAsia="仿宋"/>
                <w:szCs w:val="21"/>
              </w:rPr>
            </w:pPr>
            <w:r>
              <w:rPr>
                <w:rFonts w:hint="eastAsia" w:ascii="仿宋" w:hAnsi="仿宋" w:eastAsia="仿宋"/>
                <w:szCs w:val="21"/>
              </w:rPr>
              <w:t>600531.SH</w:t>
            </w:r>
          </w:p>
        </w:tc>
        <w:tc>
          <w:tcPr>
            <w:tcW w:w="1134" w:type="dxa"/>
            <w:vAlign w:val="center"/>
          </w:tcPr>
          <w:p>
            <w:pPr>
              <w:jc w:val="center"/>
              <w:rPr>
                <w:rFonts w:ascii="仿宋" w:hAnsi="仿宋" w:eastAsia="仿宋"/>
                <w:szCs w:val="21"/>
              </w:rPr>
            </w:pPr>
            <w:r>
              <w:rPr>
                <w:rFonts w:hint="eastAsia" w:ascii="仿宋" w:hAnsi="仿宋" w:eastAsia="仿宋"/>
                <w:szCs w:val="21"/>
              </w:rPr>
              <w:t>豫光金铅</w:t>
            </w:r>
          </w:p>
        </w:tc>
        <w:tc>
          <w:tcPr>
            <w:tcW w:w="3723" w:type="dxa"/>
            <w:vAlign w:val="center"/>
          </w:tcPr>
          <w:p>
            <w:pPr>
              <w:jc w:val="center"/>
              <w:rPr>
                <w:rFonts w:ascii="仿宋" w:hAnsi="仿宋" w:eastAsia="仿宋"/>
                <w:szCs w:val="21"/>
              </w:rPr>
            </w:pPr>
            <w:r>
              <w:rPr>
                <w:rFonts w:hint="eastAsia" w:ascii="仿宋" w:hAnsi="仿宋" w:eastAsia="仿宋"/>
                <w:szCs w:val="21"/>
              </w:rPr>
              <w:t>董事长杨安国离任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表10　重大项目情况表</w:t>
      </w:r>
    </w:p>
    <w:tbl>
      <w:tblPr>
        <w:tblStyle w:val="9"/>
        <w:tblW w:w="10627" w:type="dxa"/>
        <w:jc w:val="center"/>
        <w:tblLayout w:type="fixed"/>
        <w:tblCellMar>
          <w:top w:w="0" w:type="dxa"/>
          <w:left w:w="108" w:type="dxa"/>
          <w:bottom w:w="0" w:type="dxa"/>
          <w:right w:w="108" w:type="dxa"/>
        </w:tblCellMar>
      </w:tblPr>
      <w:tblGrid>
        <w:gridCol w:w="709"/>
        <w:gridCol w:w="1163"/>
        <w:gridCol w:w="1134"/>
        <w:gridCol w:w="1134"/>
        <w:gridCol w:w="1418"/>
        <w:gridCol w:w="5069"/>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506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600186.SH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莲花健康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2023-09-29</w:t>
            </w:r>
          </w:p>
        </w:tc>
        <w:tc>
          <w:tcPr>
            <w:tcW w:w="50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莲花健康产业集团股份有限公司（以下简称“公司”）全资子公司杭州莲花科技创新有限公司（以下简称“莲花科创”或“甲方”）于2023年9月27日与新华三集团有限公司（以下简称“新华三”）控股子公司新华三信息技术有限公司（以下简称“新华三信息”或“乙方”）签署《采购合同》。</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2023-09-26</w:t>
            </w:r>
          </w:p>
        </w:tc>
        <w:tc>
          <w:tcPr>
            <w:tcW w:w="50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收到控股子公司深圳三晖能源科技有限公司（以下简称“三晖能源”）与河北雄安许继电科综合能源技术有限公司（以下简称“雄安许继电科”）签订的采购合同，项目名称：北疆石河子100万千瓦光伏基地中国电建30万千瓦光伏项目（以下简称“本合同”），项目总价款：7,542.00万元（含税）。</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2023-09-23</w:t>
            </w:r>
          </w:p>
        </w:tc>
        <w:tc>
          <w:tcPr>
            <w:tcW w:w="50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 2023 年 9 月 22 日收到“新乡市平原示范区客运站建设项目”的《中标通知书》,确认公司为该项目的中标单位。</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2023-09-22</w:t>
            </w:r>
          </w:p>
        </w:tc>
        <w:tc>
          <w:tcPr>
            <w:tcW w:w="50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今日收到“商丘市虞城县彩印包装园建设项目一标段”的《中标通知书》,确认公司与“中凡国际工程设计有限公司”所组成的联合体为该项目第一标段的中标单位。</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2023-09-16</w:t>
            </w:r>
          </w:p>
        </w:tc>
        <w:tc>
          <w:tcPr>
            <w:tcW w:w="50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河南平高电气股份有限公司(以下简称“公司”)及子公司、合营公司为相关项目中标单位,中标金额合计约为 8.44 亿元,占 2022 年营业收入的 9.10%。</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2023-09-05</w:t>
            </w:r>
          </w:p>
        </w:tc>
        <w:tc>
          <w:tcPr>
            <w:tcW w:w="50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棕榈生态城镇发展股份有限公司(以下简称“公司”)于近日收到漯河市融汇实业有限公司发来的《中标通知书》,确认公司为漯河市城投乐居玉兰府二期施工项目的中标单位。</w:t>
            </w:r>
          </w:p>
        </w:tc>
      </w:tr>
    </w:tbl>
    <w:p>
      <w:pPr>
        <w:spacing w:before="156" w:beforeLines="50" w:after="156" w:afterLines="50"/>
        <w:rPr>
          <w:rFonts w:ascii="楷体" w:hAnsi="楷体" w:eastAsia="楷体" w:cs="Calibri"/>
          <w:b/>
          <w:sz w:val="28"/>
        </w:rPr>
      </w:pPr>
      <w:r>
        <w:rPr>
          <w:rFonts w:hint="eastAsia" w:ascii="仿宋" w:hAnsi="仿宋" w:eastAsia="仿宋"/>
          <w:b/>
          <w:sz w:val="28"/>
        </w:rPr>
        <w:t>六、上市公司九月违规案例精选</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 xml:space="preserve">1. </w:t>
      </w:r>
      <w:r>
        <w:rPr>
          <w:rFonts w:hint="eastAsia" w:ascii="仿宋" w:hAnsi="仿宋" w:eastAsia="仿宋" w:cs="仿宋"/>
          <w:b/>
          <w:color w:val="000000"/>
          <w:sz w:val="28"/>
          <w:szCs w:val="28"/>
        </w:rPr>
        <w:t>债务重组达到披露标准也应及时披露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主板某上市公司于2023年8月8日披露的《关于债务重组有关事项的公告》以及2023年7月19日披露的《关于深圳证券交易所2022年年报问询函的回复》显示，公司分别于2022年5月、2023年2月与深圳市万京投资有限公司、新疆卓沣房地产开发有限公司签署相关协议，约定债务人以房产抵偿欠你公司的工程款。上市公司未及时履行审议程序和信息披露义务，直至 2023 年8 月 8 日才提交董事会审议并补充披露。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深圳证券交易所认为上市公司的上述行为违反了</w:t>
      </w:r>
      <w:r>
        <w:rPr>
          <w:rFonts w:hint="eastAsia" w:ascii="仿宋" w:hAnsi="仿宋" w:eastAsia="仿宋" w:cs="仿宋"/>
          <w:color w:val="000000"/>
          <w:sz w:val="28"/>
          <w:szCs w:val="28"/>
          <w:u w:val="single"/>
        </w:rPr>
        <w:t>《深圳证券交易所股票上市规则（2023 年修订）》</w:t>
      </w:r>
      <w:r>
        <w:rPr>
          <w:rFonts w:hint="eastAsia" w:ascii="仿宋" w:hAnsi="仿宋" w:eastAsia="仿宋" w:cs="仿宋"/>
          <w:color w:val="000000"/>
          <w:sz w:val="28"/>
          <w:szCs w:val="28"/>
        </w:rPr>
        <w:t>第 1.4 条、第 2.1.1 条、第 6.1.2 条的规定，对上市公司发出监管函。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《深圳证券交易所股票上市规则（2023年8月修订）》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6.1.1　本节所称重大交易，包括除上市公司日常经营活动之外发生的下列类型的事项：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（九）债权或者债务重组；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6.1.2　除本规则第6.1.9条、第6.1.10条的规定外，上市公司发生的交易达到下列标准之一的，应当及时披露：</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（五）交易的成交金额（含承担债务和费用）占上市公司最近一期经审计净资产的10%以上，且绝对金额超过1000万元；</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（六）交易产生的利润占上市公司最近一个会计年度经审计净利润的10%以上，且绝对金额超过100万元。</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根据企业会计准则，以资抵债属于债务重组的其中一种方式，因此属于交易事项，上市公司应根据企业会计准则相关会计处理确认对财务状况和净利润的影响，判断是否达到披露标准。</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重大事项的宣传和披露应注意先后性问题</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查明，2023年5月10日，沪主板某上市公司于11点07分通过公司微信公众号发布宣传文章《引力传媒与XX科技将共建“行业AIGC大模型联合实验室”》，文章涉及公司与A公司XX科技正式签署《战略合作协议》，将共建“行业AIGC大模型联合实验室”，将携手共同打造营销类ChatGPT行业大模型等内容。该文章发布后，公司股价于11点18分左右涨停。同日盘后，公司披露《关于签署战略合作协议的公告》，对上述协议内容予以披露，并做了风险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述公告披露后，公司股价于5月11日再度涨停并触及异动。当日，公司控股股东、实际控制人暨时任董事长（代行董事会秘书）罗某减持64.64万股，减持金额923.71万元。上海证券交易所于同日向公司发出问询函，针对A公司业务开展情况、公司信息披露合规性、是否利用信息披露迎合热点炒作股价及配合减持等内容，要求公司补充披露。公司股价于5月12日跌停。5月18日，公司披露回函称，对于签署战略合作协议事项，因对规则理解不足，公司通过公众号发布信息早于公告披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上海证券交易所认为上市公司的上述行为违反了</w:t>
      </w:r>
      <w:r>
        <w:rPr>
          <w:rFonts w:hint="eastAsia" w:ascii="仿宋" w:hAnsi="仿宋" w:eastAsia="仿宋" w:cs="仿宋"/>
          <w:color w:val="000000"/>
          <w:sz w:val="28"/>
          <w:szCs w:val="28"/>
          <w:u w:val="single"/>
        </w:rPr>
        <w:t>《上海证券交易所股票上市规则（2023年2月修订）》</w:t>
      </w:r>
      <w:r>
        <w:rPr>
          <w:rFonts w:hint="eastAsia" w:ascii="仿宋" w:hAnsi="仿宋" w:eastAsia="仿宋" w:cs="仿宋"/>
          <w:color w:val="000000"/>
          <w:sz w:val="28"/>
          <w:szCs w:val="28"/>
        </w:rPr>
        <w:t>第2.1.1条、第2.1.6条、第2.1.8条等有关规定，对上市公司及控股股东、实际控制人暨时任董事长罗某予以通报批评。</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《上海证券交易所股票上市规则（2023年8月修订）》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2.1.6　上市公司及相关信息披露义务人披露信息，应当内容完整，充分披露对公司股票及其衍生品种交易价格有较大影响的信息，揭示可能产生的重大风险，不得有选择地披露部分信息，不得有重大遗漏。</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2.1.8　上市公司及相关信息披露义务人应当同时向所有投资者公开披露重大信息，确保所有投资者可以平等地获取同一信息，不得提前向任何单位和个人泄露。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color w:val="000000"/>
          <w:sz w:val="28"/>
          <w:szCs w:val="28"/>
        </w:rPr>
        <w:t>上市公司涉及新兴领域、技术合作的重要事项，可能对公司股票价格和投资者投资决策产生较大影响，因此上市公司通过新闻媒体宣传此类重大事项时，应当注意宣传和信息披露的先后顺序问题，避免信息披露不公平，并注意风险揭示的充分性。</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Arial">
    <w:altName w:val="Nimbus Roman No9 L"/>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abs>
        <w:tab w:val="left" w:pos="810"/>
        <w:tab w:val="clear" w:pos="4153"/>
        <w:tab w:val="clear" w:pos="8306"/>
      </w:tabs>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A456FA"/>
    <w:rsid w:val="00074D92"/>
    <w:rsid w:val="00091ABF"/>
    <w:rsid w:val="000925A6"/>
    <w:rsid w:val="000D2958"/>
    <w:rsid w:val="000E00CA"/>
    <w:rsid w:val="001201C0"/>
    <w:rsid w:val="00135E58"/>
    <w:rsid w:val="001733F4"/>
    <w:rsid w:val="001F1EDE"/>
    <w:rsid w:val="002071AC"/>
    <w:rsid w:val="002202DE"/>
    <w:rsid w:val="0023716C"/>
    <w:rsid w:val="002836A6"/>
    <w:rsid w:val="002860E7"/>
    <w:rsid w:val="002C52F1"/>
    <w:rsid w:val="002D46AF"/>
    <w:rsid w:val="00300266"/>
    <w:rsid w:val="00325411"/>
    <w:rsid w:val="00502292"/>
    <w:rsid w:val="00553805"/>
    <w:rsid w:val="00567A23"/>
    <w:rsid w:val="00634DD8"/>
    <w:rsid w:val="00662752"/>
    <w:rsid w:val="006A2010"/>
    <w:rsid w:val="006B4BC7"/>
    <w:rsid w:val="006E4910"/>
    <w:rsid w:val="00731323"/>
    <w:rsid w:val="0077380A"/>
    <w:rsid w:val="007A5E44"/>
    <w:rsid w:val="00832BA2"/>
    <w:rsid w:val="00905FA6"/>
    <w:rsid w:val="009233CE"/>
    <w:rsid w:val="0093672A"/>
    <w:rsid w:val="00947D35"/>
    <w:rsid w:val="00967ED2"/>
    <w:rsid w:val="009B4AF1"/>
    <w:rsid w:val="00A0048E"/>
    <w:rsid w:val="00A2065C"/>
    <w:rsid w:val="00A25C9D"/>
    <w:rsid w:val="00A450DC"/>
    <w:rsid w:val="00AB7415"/>
    <w:rsid w:val="00AE2C15"/>
    <w:rsid w:val="00AF5A65"/>
    <w:rsid w:val="00B12211"/>
    <w:rsid w:val="00B150AF"/>
    <w:rsid w:val="00BF15A3"/>
    <w:rsid w:val="00BF36C0"/>
    <w:rsid w:val="00C063F5"/>
    <w:rsid w:val="00C14AC7"/>
    <w:rsid w:val="00C4787B"/>
    <w:rsid w:val="00C50CF6"/>
    <w:rsid w:val="00D4346F"/>
    <w:rsid w:val="00D803FB"/>
    <w:rsid w:val="00DD6843"/>
    <w:rsid w:val="00DF64B8"/>
    <w:rsid w:val="00F216F4"/>
    <w:rsid w:val="00F94756"/>
    <w:rsid w:val="00FA2724"/>
    <w:rsid w:val="00FE5E55"/>
    <w:rsid w:val="00FF5D07"/>
    <w:rsid w:val="08324530"/>
    <w:rsid w:val="111E6522"/>
    <w:rsid w:val="2DE34E7D"/>
    <w:rsid w:val="30AC56BF"/>
    <w:rsid w:val="383B2000"/>
    <w:rsid w:val="4ABF3832"/>
    <w:rsid w:val="55BF28E5"/>
    <w:rsid w:val="5CA456FA"/>
    <w:rsid w:val="6D535020"/>
    <w:rsid w:val="7DE9A020"/>
    <w:rsid w:val="BD3F0F5D"/>
    <w:rsid w:val="EF7F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qFormat/>
    <w:uiPriority w:val="0"/>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a:noFill/>
              </a:ln>
              <a:effectLst/>
            </c:spPr>
          </c:dPt>
          <c:dPt>
            <c:idx val="1"/>
            <c:bubble3D val="false"/>
            <c:spPr>
              <a:solidFill>
                <a:schemeClr val="accent2"/>
              </a:solidFill>
              <a:ln>
                <a:noFill/>
              </a:ln>
              <a:effectLst/>
            </c:spPr>
          </c:dPt>
          <c:dPt>
            <c:idx val="2"/>
            <c:bubble3D val="false"/>
            <c:spPr>
              <a:solidFill>
                <a:schemeClr val="accent3"/>
              </a:solidFill>
              <a:ln>
                <a:noFill/>
              </a:ln>
              <a:effectLst/>
            </c:spPr>
          </c:dPt>
          <c:dPt>
            <c:idx val="3"/>
            <c:bubble3D val="false"/>
            <c:spPr>
              <a:solidFill>
                <a:schemeClr val="accent4"/>
              </a:solidFill>
              <a:ln>
                <a:noFill/>
              </a:ln>
              <a:effectLst/>
            </c:spPr>
          </c:dPt>
          <c:dPt>
            <c:idx val="4"/>
            <c:bubble3D val="false"/>
            <c:spPr>
              <a:solidFill>
                <a:schemeClr val="accent5"/>
              </a:solidFill>
              <a:ln>
                <a:noFill/>
              </a:ln>
              <a:effectLst/>
            </c:spPr>
          </c:dPt>
          <c:dPt>
            <c:idx val="5"/>
            <c:bubble3D val="false"/>
            <c:spPr>
              <a:solidFill>
                <a:schemeClr val="accent6"/>
              </a:solidFill>
              <a:ln>
                <a:noFill/>
              </a:ln>
              <a:effectLst/>
            </c:spPr>
          </c:dPt>
          <c:dPt>
            <c:idx val="6"/>
            <c:bubble3D val="false"/>
            <c:spPr>
              <a:solidFill>
                <a:schemeClr val="accent1">
                  <a:lumMod val="60000"/>
                </a:schemeClr>
              </a:solidFill>
              <a:ln>
                <a:noFill/>
              </a:ln>
              <a:effectLst/>
            </c:spPr>
          </c:dPt>
          <c:dPt>
            <c:idx val="7"/>
            <c:bubble3D val="false"/>
            <c:spPr>
              <a:solidFill>
                <a:schemeClr val="accent2">
                  <a:lumMod val="60000"/>
                </a:schemeClr>
              </a:solidFill>
              <a:ln>
                <a:noFill/>
              </a:ln>
              <a:effectLst/>
            </c:spPr>
          </c:dPt>
          <c:dPt>
            <c:idx val="8"/>
            <c:bubble3D val="false"/>
            <c:spPr>
              <a:solidFill>
                <a:schemeClr val="accent3">
                  <a:lumMod val="60000"/>
                </a:schemeClr>
              </a:solidFill>
              <a:ln>
                <a:noFill/>
              </a:ln>
              <a:effectLst/>
            </c:spPr>
          </c:dPt>
          <c:dLbls>
            <c:dLbl>
              <c:idx val="4"/>
              <c:layout>
                <c:manualLayout>
                  <c:x val="0.00843170320404722"/>
                  <c:y val="0.0657894736842105"/>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5"/>
              <c:layout>
                <c:manualLayout>
                  <c:x val="-0.0202887581716704"/>
                  <c:y val="0.0884501485011742"/>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6"/>
              <c:layout>
                <c:manualLayout>
                  <c:x val="-0.0749063670411985"/>
                  <c:y val="0"/>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7"/>
              <c:layout>
                <c:manualLayout>
                  <c:x val="-0.00998751560549318"/>
                  <c:y val="0"/>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8"/>
              <c:layout>
                <c:manualLayout>
                  <c:x val="0.0558723161291179"/>
                  <c:y val="0"/>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1" vertOverflow="ellipsis" vert="horz" wrap="square" lIns="38100" tIns="19050" rIns="38100" bIns="19050" anchor="ctr" anchorCtr="true">
                <a:spAutoFit/>
              </a:bodyPr>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材料</c:v>
                </c:pt>
                <c:pt idx="1">
                  <c:v>日常消费</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3715.25</c:v>
                </c:pt>
                <c:pt idx="1">
                  <c:v>3476.87</c:v>
                </c:pt>
                <c:pt idx="2">
                  <c:v>1902.49</c:v>
                </c:pt>
                <c:pt idx="3">
                  <c:v>1409.58</c:v>
                </c:pt>
                <c:pt idx="4">
                  <c:v>1268.72</c:v>
                </c:pt>
                <c:pt idx="5">
                  <c:v>714.58</c:v>
                </c:pt>
                <c:pt idx="6">
                  <c:v>555.17</c:v>
                </c:pt>
                <c:pt idx="7">
                  <c:v>392.81</c:v>
                </c:pt>
                <c:pt idx="8">
                  <c:v>214.67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plotVisOnly val="true"/>
    <c:dispBlanksAs val="zero"/>
    <c:showDLblsOverMax val="false"/>
  </c:chart>
  <c:spPr>
    <a:solidFill>
      <a:schemeClr val="bg1"/>
    </a:solidFill>
    <a:ln w="9525" cap="flat" cmpd="sng" algn="ctr">
      <a:solidFill>
        <a:srgbClr val="D9D9D9"/>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4"/>
    </mc:Choice>
    <mc:Fallback>
      <c:style val="4"/>
    </mc:Fallback>
  </mc:AlternateContent>
  <c:chart>
    <c:autoTitleDeleted val="true"/>
    <c:plotArea>
      <c:layout/>
      <c:barChart>
        <c:barDir val="col"/>
        <c:grouping val="clustered"/>
        <c:varyColors val="false"/>
        <c:ser>
          <c:idx val="0"/>
          <c:order val="0"/>
          <c:tx>
            <c:strRef>
              <c:f>Sheet3!$B$1</c:f>
              <c:strCache>
                <c:ptCount val="1"/>
                <c:pt idx="0">
                  <c:v>市值（亿元）（2023-09-30）</c:v>
                </c:pt>
              </c:strCache>
            </c:strRef>
          </c:tx>
          <c:spPr>
            <a:solidFill>
              <a:srgbClr val="C0504D"/>
            </a:solidFill>
          </c:spPr>
          <c:invertIfNegative val="false"/>
          <c:dLbls>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Sheet3!$A$2:$A$11</c:f>
              <c:strCache>
                <c:ptCount val="10"/>
                <c:pt idx="0">
                  <c:v>牧原股份</c:v>
                </c:pt>
                <c:pt idx="1">
                  <c:v>洛阳钼业</c:v>
                </c:pt>
                <c:pt idx="2">
                  <c:v>双汇发展</c:v>
                </c:pt>
                <c:pt idx="3">
                  <c:v>中航光电</c:v>
                </c:pt>
                <c:pt idx="4">
                  <c:v>龙佰集团</c:v>
                </c:pt>
                <c:pt idx="5">
                  <c:v>华兰生物</c:v>
                </c:pt>
                <c:pt idx="6">
                  <c:v>神火股份</c:v>
                </c:pt>
                <c:pt idx="7">
                  <c:v>宇通客车</c:v>
                </c:pt>
                <c:pt idx="8">
                  <c:v>安图生物</c:v>
                </c:pt>
                <c:pt idx="9">
                  <c:v>平煤股份</c:v>
                </c:pt>
              </c:strCache>
            </c:strRef>
          </c:cat>
          <c:val>
            <c:numRef>
              <c:f>Sheet3!$B$2:$B$11</c:f>
              <c:numCache>
                <c:formatCode>General</c:formatCode>
                <c:ptCount val="10"/>
                <c:pt idx="0">
                  <c:v>2070.82</c:v>
                </c:pt>
                <c:pt idx="1">
                  <c:v>1276.52</c:v>
                </c:pt>
                <c:pt idx="2">
                  <c:v>914.32</c:v>
                </c:pt>
                <c:pt idx="3">
                  <c:v>896.78</c:v>
                </c:pt>
                <c:pt idx="4">
                  <c:v>438.36</c:v>
                </c:pt>
                <c:pt idx="5">
                  <c:v>405.01</c:v>
                </c:pt>
                <c:pt idx="6">
                  <c:v>384.47</c:v>
                </c:pt>
                <c:pt idx="7">
                  <c:v>292.9</c:v>
                </c:pt>
                <c:pt idx="8">
                  <c:v>268.1</c:v>
                </c:pt>
                <c:pt idx="9">
                  <c:v>238.56</c:v>
                </c:pt>
              </c:numCache>
            </c:numRef>
          </c:val>
        </c:ser>
        <c:dLbls>
          <c:showLegendKey val="false"/>
          <c:showVal val="true"/>
          <c:showCatName val="false"/>
          <c:showSerName val="false"/>
          <c:showPercent val="false"/>
          <c:showBubbleSize val="false"/>
        </c:dLbls>
        <c:gapWidth val="75"/>
        <c:axId val="197067424"/>
        <c:axId val="197065792"/>
      </c:barChart>
      <c:catAx>
        <c:axId val="197067424"/>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065792"/>
        <c:crosses val="autoZero"/>
        <c:auto val="true"/>
        <c:lblAlgn val="ctr"/>
        <c:lblOffset val="100"/>
        <c:noMultiLvlLbl val="false"/>
      </c:catAx>
      <c:valAx>
        <c:axId val="197065792"/>
        <c:scaling>
          <c:orientation val="minMax"/>
          <c:max val="2300"/>
        </c:scaling>
        <c:delete val="false"/>
        <c:axPos val="l"/>
        <c:majorGridlines>
          <c:spPr>
            <a:ln w="9525" cap="flat" cmpd="sng" algn="ctr">
              <a:noFill/>
              <a:prstDash val="solid"/>
              <a:round/>
            </a:ln>
          </c:spPr>
        </c:majorGridlines>
        <c:numFmt formatCode="#,##0.00_);[Red]\(#,##0.00\)" sourceLinked="fals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575"/>
      </c:valAx>
      <c:spPr>
        <a:ln>
          <a:noFill/>
        </a:ln>
      </c:spPr>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solidFill>
        <a:srgbClr val="D9D9D9"/>
      </a:solidFill>
      <a:prstDash val="solid"/>
      <a:round/>
    </a:ln>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月成交额（亿元）</c:v>
                </c:pt>
              </c:strCache>
            </c:strRef>
          </c:tx>
          <c:spPr>
            <a:solidFill>
              <a:srgbClr val="C0504D"/>
            </a:solidFill>
          </c:spPr>
          <c:invertIfNegative val="false"/>
          <c:dLbls>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Sheet1!$A$2:$A$11</c:f>
              <c:strCache>
                <c:ptCount val="10"/>
                <c:pt idx="0">
                  <c:v>莲花健康</c:v>
                </c:pt>
                <c:pt idx="1">
                  <c:v>平煤股份</c:v>
                </c:pt>
                <c:pt idx="2">
                  <c:v>神火股份</c:v>
                </c:pt>
                <c:pt idx="3">
                  <c:v>洛阳钼业</c:v>
                </c:pt>
                <c:pt idx="4">
                  <c:v>牧原股份</c:v>
                </c:pt>
                <c:pt idx="5">
                  <c:v>远东传动</c:v>
                </c:pt>
                <c:pt idx="6">
                  <c:v>中原传媒</c:v>
                </c:pt>
                <c:pt idx="7">
                  <c:v>明泰铝业</c:v>
                </c:pt>
                <c:pt idx="8">
                  <c:v>中航光电</c:v>
                </c:pt>
                <c:pt idx="9">
                  <c:v>天迈科技</c:v>
                </c:pt>
              </c:strCache>
            </c:strRef>
          </c:cat>
          <c:val>
            <c:numRef>
              <c:f>Sheet1!$B$2:$B$11</c:f>
              <c:numCache>
                <c:formatCode>###,###,###,##0.0000</c:formatCode>
                <c:ptCount val="10"/>
                <c:pt idx="0">
                  <c:v>135.52</c:v>
                </c:pt>
                <c:pt idx="1">
                  <c:v>114.25</c:v>
                </c:pt>
                <c:pt idx="2">
                  <c:v>110.82</c:v>
                </c:pt>
                <c:pt idx="3">
                  <c:v>109.06</c:v>
                </c:pt>
                <c:pt idx="4">
                  <c:v>99</c:v>
                </c:pt>
                <c:pt idx="5">
                  <c:v>87.6</c:v>
                </c:pt>
                <c:pt idx="6">
                  <c:v>78.16</c:v>
                </c:pt>
                <c:pt idx="7">
                  <c:v>72.42</c:v>
                </c:pt>
                <c:pt idx="8">
                  <c:v>67.41</c:v>
                </c:pt>
                <c:pt idx="9">
                  <c:v>65.03</c:v>
                </c:pt>
              </c:numCache>
            </c:numRef>
          </c:val>
        </c:ser>
        <c:dLbls>
          <c:showLegendKey val="false"/>
          <c:showVal val="true"/>
          <c:showCatName val="false"/>
          <c:showSerName val="false"/>
          <c:showPercent val="false"/>
          <c:showBubbleSize val="false"/>
        </c:dLbls>
        <c:gapWidth val="75"/>
        <c:axId val="121946672"/>
        <c:axId val="121939600"/>
      </c:barChart>
      <c:catAx>
        <c:axId val="121946672"/>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939600"/>
        <c:crosses val="autoZero"/>
        <c:auto val="true"/>
        <c:lblAlgn val="ctr"/>
        <c:lblOffset val="100"/>
        <c:noMultiLvlLbl val="false"/>
      </c:catAx>
      <c:valAx>
        <c:axId val="121939600"/>
        <c:scaling>
          <c:orientation val="minMax"/>
          <c:max val="135.52"/>
        </c:scaling>
        <c:delete val="false"/>
        <c:axPos val="l"/>
        <c:numFmt formatCode="#,##0.00_);[Red]\(#,##0.00\)" sourceLinked="false"/>
        <c:majorTickMark val="out"/>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33.88"/>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solidFill>
        <a:srgbClr val="D9D9D9"/>
      </a:solidFill>
      <a:prstDash val="solid"/>
      <a:round/>
    </a:ln>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19</Pages>
  <Words>1932</Words>
  <Characters>11018</Characters>
  <Lines>91</Lines>
  <Paragraphs>25</Paragraphs>
  <TotalTime>1</TotalTime>
  <ScaleCrop>false</ScaleCrop>
  <LinksUpToDate>false</LinksUpToDate>
  <CharactersWithSpaces>12925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2019-03-11T09:10:00Z</dcterms:created>
  <dc:creator>Annie</dc:creator>
  <cp:lastModifiedBy>user</cp:lastModifiedBy>
  <cp:lastPrinted>2019-03-05T16:32:00Z</cp:lastPrinted>
  <dcterms:modified xsi:type="dcterms:W3CDTF">2023-10-10T14:51:45Z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