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pPr>
      <w:r>
        <w:rPr>
          <w:rFonts w:ascii="华文中宋" w:hAnsi="华文中宋" w:eastAsia="华文中宋" w:cs="Arial"/>
          <w:b/>
          <w:sz w:val="40"/>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hAnsi="华文中宋" w:eastAsia="华文中宋" w:cs="Arial"/>
          <w:b/>
          <w:sz w:val="40"/>
          <w:szCs w:val="28"/>
        </w:rPr>
        <w:instrText xml:space="preserve">ADDIN CNKISM.UserStyle</w:instrText>
      </w:r>
      <w:r>
        <w:rPr>
          <w:rFonts w:ascii="华文中宋" w:hAnsi="华文中宋" w:eastAsia="华文中宋" w:cs="Arial"/>
          <w:b/>
          <w:sz w:val="40"/>
          <w:szCs w:val="28"/>
        </w:rPr>
        <w:fldChar w:fldCharType="end"/>
      </w:r>
      <w:r>
        <w:rPr>
          <w:rFonts w:hint="eastAsia" w:ascii="华文中宋" w:hAnsi="华文中宋" w:eastAsia="华文中宋" w:cs="Arial"/>
          <w:b/>
          <w:sz w:val="40"/>
          <w:szCs w:val="28"/>
        </w:rPr>
        <w:t>河南辖区上市公司</w:t>
      </w:r>
      <w:r>
        <w:rPr>
          <w:rFonts w:ascii="华文中宋" w:hAnsi="华文中宋" w:eastAsia="华文中宋" w:cs="Arial"/>
          <w:b/>
          <w:sz w:val="40"/>
          <w:szCs w:val="28"/>
        </w:rPr>
        <w:t>10月</w:t>
      </w:r>
      <w:r>
        <w:rPr>
          <w:rFonts w:hint="eastAsia" w:ascii="华文中宋" w:hAnsi="华文中宋" w:eastAsia="华文中宋" w:cs="Arial"/>
          <w:b/>
          <w:sz w:val="40"/>
          <w:szCs w:val="28"/>
        </w:rPr>
        <w:t>市场动态</w:t>
      </w:r>
    </w:p>
    <w:p>
      <w:pPr>
        <w:spacing w:after="156" w:afterLines="50" w:line="360" w:lineRule="auto"/>
        <w:ind w:firstLine="560" w:firstLineChars="200"/>
        <w:rPr>
          <w:rFonts w:ascii="仿宋" w:hAnsi="仿宋" w:eastAsia="仿宋"/>
          <w:sz w:val="28"/>
        </w:rPr>
      </w:pPr>
      <w:r>
        <w:rPr>
          <w:rFonts w:hint="eastAsia" w:ascii="仿宋" w:hAnsi="仿宋" w:eastAsia="仿宋"/>
          <w:color w:val="auto"/>
          <w:sz w:val="28"/>
        </w:rPr>
        <w:t>河南上市公司协会联合上海信公科技集团股份有限公司，就河南辖区上市公司2023年</w:t>
      </w:r>
      <w:r>
        <w:rPr>
          <w:rFonts w:hint="eastAsia" w:ascii="仿宋" w:hAnsi="仿宋" w:eastAsia="仿宋"/>
          <w:color w:val="auto"/>
          <w:sz w:val="28"/>
          <w:lang w:val="en-US" w:eastAsia="zh-CN"/>
        </w:rPr>
        <w:t>10</w:t>
      </w:r>
      <w:r>
        <w:rPr>
          <w:rFonts w:hint="eastAsia" w:ascii="仿宋" w:hAnsi="仿宋" w:eastAsia="仿宋"/>
          <w:color w:val="auto"/>
          <w:sz w:val="28"/>
        </w:rPr>
        <w:t>月份市场表现及公开披露的相关信息进行归纳总结、对比分析，</w:t>
      </w:r>
      <w:r>
        <w:rPr>
          <w:rFonts w:hint="eastAsia" w:ascii="仿宋" w:hAnsi="仿宋" w:eastAsia="仿宋"/>
          <w:sz w:val="28"/>
        </w:rPr>
        <w:t>具体如下：</w:t>
      </w:r>
      <w:bookmarkStart w:id="0" w:name="_GoBack"/>
      <w:bookmarkEnd w:id="0"/>
    </w:p>
    <w:p>
      <w:pPr>
        <w:spacing w:after="156" w:afterLines="50" w:line="360" w:lineRule="auto"/>
        <w:rPr>
          <w:rFonts w:ascii="仿宋" w:hAnsi="仿宋" w:eastAsia="仿宋"/>
          <w:b/>
          <w:sz w:val="28"/>
        </w:rPr>
      </w:pPr>
      <w:r>
        <w:rPr>
          <w:rFonts w:hint="eastAsia" w:ascii="仿宋" w:hAnsi="仿宋" w:eastAsia="仿宋"/>
          <w:b/>
          <w:sz w:val="28"/>
        </w:rPr>
        <w:t>一、十</w:t>
      </w:r>
      <w:r>
        <w:rPr>
          <w:rFonts w:ascii="仿宋" w:hAnsi="仿宋" w:eastAsia="仿宋"/>
          <w:b/>
          <w:sz w:val="28"/>
        </w:rPr>
        <w:t>月</w:t>
      </w:r>
      <w:r>
        <w:rPr>
          <w:rFonts w:hint="eastAsia" w:ascii="仿宋" w:hAnsi="仿宋" w:eastAsia="仿宋"/>
          <w:b/>
          <w:sz w:val="28"/>
        </w:rPr>
        <w:t>国内重要财经新闻浏览</w:t>
      </w:r>
    </w:p>
    <w:p>
      <w:pPr>
        <w:widowControl/>
        <w:ind w:firstLine="562" w:firstLineChars="200"/>
        <w:rPr>
          <w:rFonts w:ascii="仿宋" w:hAnsi="仿宋" w:eastAsia="仿宋" w:cs="仿宋"/>
          <w:sz w:val="28"/>
          <w:szCs w:val="28"/>
        </w:rPr>
      </w:pPr>
      <w:r>
        <w:rPr>
          <w:rFonts w:hint="eastAsia" w:ascii="仿宋" w:hAnsi="仿宋" w:eastAsia="仿宋" w:cs="仿宋"/>
          <w:b/>
          <w:sz w:val="28"/>
          <w:szCs w:val="28"/>
        </w:rPr>
        <w:t>1</w:t>
      </w:r>
      <w:r>
        <w:rPr>
          <w:rFonts w:ascii="仿宋" w:hAnsi="仿宋" w:eastAsia="仿宋" w:cs="仿宋"/>
          <w:b/>
          <w:sz w:val="28"/>
          <w:szCs w:val="28"/>
        </w:rPr>
        <w:t>.</w:t>
      </w:r>
      <w:r>
        <w:rPr>
          <w:rFonts w:hint="eastAsia" w:ascii="仿宋" w:hAnsi="仿宋" w:eastAsia="仿宋" w:cs="仿宋"/>
          <w:b/>
          <w:sz w:val="28"/>
          <w:szCs w:val="28"/>
        </w:rPr>
        <w:t>国资委：不断抢占新领域新赛道 加快塑造新质生产力。</w:t>
      </w:r>
      <w:r>
        <w:rPr>
          <w:rFonts w:hint="eastAsia" w:ascii="仿宋" w:hAnsi="仿宋" w:eastAsia="仿宋" w:cs="仿宋"/>
          <w:sz w:val="28"/>
          <w:szCs w:val="28"/>
        </w:rPr>
        <w:t>国务院国资委10月10日召开中央企业经济运行情况通报会。会议强调，要扩大有效投资增后劲，聚焦重点领域快投尽投，加快“十四五”规划重点项目落实落地，瞄准未来发展早投优投，积极布局一批强牵引、利长远的重大项目，不断抢占新领域新赛道，加快塑造新质生产力。要优化经营机制强活力，以深入实施国有企业改革深化提升行动为契机，优化考核激励机制、决策运行机制，充分调动各方面积极性主动性创造性，激活企业财富增长的源泉。</w:t>
      </w:r>
    </w:p>
    <w:p>
      <w:pPr>
        <w:widowControl/>
        <w:ind w:firstLine="562" w:firstLineChars="200"/>
        <w:rPr>
          <w:rFonts w:ascii="仿宋" w:hAnsi="仿宋" w:eastAsia="仿宋" w:cs="仿宋"/>
          <w:sz w:val="28"/>
          <w:szCs w:val="28"/>
        </w:rPr>
      </w:pPr>
      <w:r>
        <w:rPr>
          <w:rFonts w:hint="eastAsia" w:ascii="仿宋" w:hAnsi="仿宋" w:eastAsia="仿宋" w:cs="仿宋"/>
          <w:b/>
          <w:sz w:val="28"/>
          <w:szCs w:val="28"/>
        </w:rPr>
        <w:t>2</w:t>
      </w:r>
      <w:r>
        <w:rPr>
          <w:rFonts w:ascii="仿宋" w:hAnsi="仿宋" w:eastAsia="仿宋" w:cs="仿宋"/>
          <w:b/>
          <w:sz w:val="28"/>
          <w:szCs w:val="28"/>
        </w:rPr>
        <w:t>.</w:t>
      </w:r>
      <w:r>
        <w:rPr>
          <w:rFonts w:hint="eastAsia" w:ascii="仿宋" w:hAnsi="仿宋" w:eastAsia="仿宋" w:cs="仿宋"/>
          <w:b/>
          <w:sz w:val="28"/>
          <w:szCs w:val="28"/>
        </w:rPr>
        <w:t>财政部：虽然今年赤字率有小幅提高 但我国政府的负债率仍处于合理区间。</w:t>
      </w:r>
      <w:r>
        <w:rPr>
          <w:rFonts w:hint="eastAsia" w:ascii="仿宋" w:hAnsi="仿宋" w:eastAsia="仿宋" w:cs="仿宋"/>
          <w:sz w:val="28"/>
          <w:szCs w:val="28"/>
        </w:rPr>
        <w:t>财政部副部长朱忠明1</w:t>
      </w:r>
      <w:r>
        <w:rPr>
          <w:rFonts w:ascii="仿宋" w:hAnsi="仿宋" w:eastAsia="仿宋" w:cs="仿宋"/>
          <w:sz w:val="28"/>
          <w:szCs w:val="28"/>
        </w:rPr>
        <w:t>0</w:t>
      </w:r>
      <w:r>
        <w:rPr>
          <w:rFonts w:hint="eastAsia" w:ascii="仿宋" w:hAnsi="仿宋" w:eastAsia="仿宋" w:cs="仿宋"/>
          <w:sz w:val="28"/>
          <w:szCs w:val="28"/>
        </w:rPr>
        <w:t>月25日在国务院政策例行吹风会上表示，按照全国人大常委会审议批准的方案，这次增发2023年1万亿元国债以后，全国财政赤字将由3.88万亿元增加到4.88万亿元，预计财政赤字率将由3%提高到3.8%左右。虽然今年的赤字率有小幅提高，但我国政府的负债率仍处于合理区间，整体风险可控。国债资金投入使用以后，也会积极带动国内的需求，进一步巩固我国经济回升向好的态势。</w:t>
      </w:r>
    </w:p>
    <w:p>
      <w:pPr>
        <w:widowControl/>
        <w:ind w:firstLine="562" w:firstLineChars="200"/>
        <w:rPr>
          <w:rFonts w:ascii="仿宋" w:hAnsi="仿宋" w:eastAsia="仿宋" w:cs="仿宋"/>
          <w:sz w:val="28"/>
          <w:szCs w:val="28"/>
        </w:rPr>
      </w:pPr>
      <w:r>
        <w:rPr>
          <w:rFonts w:ascii="仿宋" w:hAnsi="仿宋" w:eastAsia="仿宋" w:cs="仿宋"/>
          <w:b/>
          <w:bCs/>
          <w:sz w:val="28"/>
          <w:szCs w:val="28"/>
        </w:rPr>
        <w:t>3.</w:t>
      </w:r>
      <w:r>
        <w:rPr>
          <w:rFonts w:hint="eastAsia" w:ascii="仿宋" w:hAnsi="仿宋" w:eastAsia="仿宋" w:cs="仿宋"/>
          <w:b/>
          <w:sz w:val="28"/>
          <w:szCs w:val="28"/>
        </w:rPr>
        <w:t>商务部：将组织开展2023年全国中小微商贸企业“创特色、创品质、创品牌”活动月。</w:t>
      </w:r>
      <w:r>
        <w:rPr>
          <w:rFonts w:hint="eastAsia" w:ascii="仿宋" w:hAnsi="仿宋" w:eastAsia="仿宋" w:cs="仿宋"/>
          <w:sz w:val="28"/>
          <w:szCs w:val="28"/>
        </w:rPr>
        <w:t>财联社10月30日电，商务部发布通知称，将于2023年11月组织开展2023年全国中小微商贸企业“创特色、创品质、创品牌”活动月。其中提到，引导中小微商贸企业创特色，提供个性化、多元化商品和服务，聚焦产业链细分环节提供专业化、精细化配套服务，积极应用新技术新业态新模式、发掘地域特色和文化元素，打造特色竞争优势。引导中小微商贸企业创品质，坚持质量第一、诚信经营，完善服务标准和规范，传承创新商业传统技艺，增强员工技能培训和职业精神，以增品质、提品味在细分市场保持优势。</w:t>
      </w:r>
    </w:p>
    <w:p>
      <w:pPr>
        <w:widowControl/>
        <w:ind w:firstLine="562" w:firstLineChars="200"/>
        <w:rPr>
          <w:rFonts w:ascii="仿宋" w:hAnsi="仿宋" w:eastAsia="仿宋" w:cs="仿宋"/>
          <w:bCs/>
          <w:sz w:val="28"/>
          <w:szCs w:val="28"/>
        </w:rPr>
      </w:pPr>
      <w:r>
        <w:rPr>
          <w:rFonts w:ascii="仿宋" w:hAnsi="仿宋" w:eastAsia="仿宋" w:cs="仿宋"/>
          <w:b/>
          <w:bCs/>
          <w:sz w:val="28"/>
          <w:szCs w:val="28"/>
        </w:rPr>
        <w:t>4.</w:t>
      </w:r>
      <w:r>
        <w:rPr>
          <w:rFonts w:hint="eastAsia" w:ascii="仿宋" w:hAnsi="仿宋" w:eastAsia="仿宋" w:cs="仿宋"/>
          <w:b/>
          <w:bCs/>
          <w:sz w:val="28"/>
          <w:szCs w:val="28"/>
        </w:rPr>
        <w:t>央行：继续优化国际投资者投资境内债券、股票涉及的跨境资金管理政策安排。</w:t>
      </w:r>
      <w:r>
        <w:rPr>
          <w:rFonts w:hint="eastAsia" w:ascii="仿宋" w:hAnsi="仿宋" w:eastAsia="仿宋" w:cs="仿宋"/>
          <w:bCs/>
          <w:sz w:val="28"/>
          <w:szCs w:val="28"/>
        </w:rPr>
        <w:t>财联社10月27日电，央行发布2023年人民币国际化报告。其中提出，持续推进金融市场制度型开放。继续优化国际投资者投资境内债券、股票涉及的跨境资金管理政策安排，支持更多央行和货币当局将人民币纳入储备，营造便利、友好的人民币资产投资生态，更好满足全球人民币资产投资者资产配置和风险管理需求。持续优化粤港澳大湾区“跨境理财通”试点相关政策安排，更好满足大湾区居民优质金融服务需求。</w:t>
      </w:r>
    </w:p>
    <w:p>
      <w:pPr>
        <w:spacing w:before="156" w:beforeLines="50" w:after="156" w:afterLines="50"/>
        <w:rPr>
          <w:rFonts w:ascii="仿宋" w:hAnsi="仿宋" w:eastAsia="仿宋" w:cs="仿宋"/>
          <w:bCs/>
          <w:sz w:val="28"/>
          <w:szCs w:val="28"/>
        </w:rPr>
      </w:pPr>
      <w:r>
        <w:rPr>
          <w:rFonts w:ascii="仿宋" w:hAnsi="仿宋" w:eastAsia="仿宋" w:cs="仿宋"/>
          <w:b/>
          <w:bCs/>
          <w:sz w:val="28"/>
          <w:szCs w:val="28"/>
        </w:rPr>
        <w:t>5.</w:t>
      </w:r>
      <w:r>
        <w:rPr>
          <w:rFonts w:hint="eastAsia" w:ascii="仿宋" w:hAnsi="仿宋" w:eastAsia="仿宋" w:cs="仿宋"/>
          <w:b/>
          <w:bCs/>
          <w:sz w:val="28"/>
          <w:szCs w:val="28"/>
        </w:rPr>
        <w:t>证监会：延长发股类重组项目财务资料有效期 促进上市公司降低重组成本。</w:t>
      </w:r>
      <w:r>
        <w:rPr>
          <w:rFonts w:hint="eastAsia" w:ascii="仿宋" w:hAnsi="仿宋" w:eastAsia="仿宋" w:cs="仿宋"/>
          <w:bCs/>
          <w:sz w:val="28"/>
          <w:szCs w:val="28"/>
        </w:rPr>
        <w:t>财联社10月27日电，证监会发布《关于修改〈公开发行证券的公司信息披露内容与格式准则第26号——上市公司重大资产重组〉的决定》。《决定》涉及修改《公开发行证券的公司信息披露内容与格式准则第26号——上市公司重大资产重组》第六十九条，主要修改内容如下：一是明确发股类重组项目财务资料有效期特别情况下可在6个月基础上适当延长，并将延长时间由至多不超过1个月调整为至多不超过3个月。二是明确相关配套措施。经审计的交易标的财务报告的截止日至提交证监会注册的重组报告书披露日之间超过7个月的，一方面，压实上市公司主体责任，要求上市公司补充披露交易标的截止日后至少6个月的财务报告和审阅报告，并在重组报告书中披露交易标的财务信息和主要经营状况变动情况；另一方面，强化中介机构“看门人”职责，要求独立财务顾问就交易标的报告期期后财务状况和经营成果是否发生重大不利变动及对本次交易的影响出具核查意见。</w:t>
      </w:r>
    </w:p>
    <w:p>
      <w:pPr>
        <w:widowControl/>
        <w:rPr>
          <w:rFonts w:ascii="仿宋" w:hAnsi="仿宋" w:eastAsia="仿宋" w:cs="仿宋"/>
          <w:b/>
          <w:bCs/>
          <w:sz w:val="28"/>
          <w:szCs w:val="28"/>
        </w:rPr>
      </w:pPr>
      <w:r>
        <w:rPr>
          <w:rFonts w:hint="eastAsia" w:ascii="仿宋" w:hAnsi="仿宋" w:eastAsia="仿宋" w:cs="仿宋"/>
          <w:b/>
          <w:bCs/>
          <w:sz w:val="28"/>
          <w:szCs w:val="28"/>
        </w:rPr>
        <w:t>二、十月券商行业研究情况浏览</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1</w:t>
      </w:r>
      <w:r>
        <w:rPr>
          <w:rFonts w:ascii="仿宋" w:hAnsi="仿宋" w:eastAsia="仿宋" w:cs="仿宋"/>
          <w:b/>
          <w:bCs/>
          <w:color w:val="333333"/>
          <w:sz w:val="28"/>
          <w:szCs w:val="28"/>
          <w:shd w:val="clear" w:color="auto" w:fill="FFFFFF"/>
        </w:rPr>
        <w:t>.</w:t>
      </w:r>
      <w:r>
        <w:rPr>
          <w:rFonts w:hint="eastAsia" w:ascii="仿宋" w:hAnsi="仿宋" w:eastAsia="仿宋" w:cs="仿宋"/>
          <w:b/>
          <w:bCs/>
          <w:color w:val="333333"/>
          <w:kern w:val="0"/>
          <w:sz w:val="28"/>
          <w:szCs w:val="28"/>
          <w:shd w:val="clear" w:color="auto" w:fill="FFFFFF"/>
        </w:rPr>
        <w:t>化工行业：含氟聚合物市场空间广阔，国产替代有望加速</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氟化工行业产品附加值高，应用广泛，高端品类进口依赖度大。1）氟化工产业链下游含氟聚合物、精细化学品附加值高，随氟化工产品加工深度增加，产品的附加值和利润率成几何级数增长。2）我国氟化工总产值已超过1000亿元，中国氟化工行业2026年市场规模有望突破1300亿元。3）高端品类氟化工产品技术壁垒高，进口依赖度强。4）含氟聚合物具有独特的性能优势，产业下游深入新能源、电子信息等战略新兴领域。</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聚全氟乙丙烯（FEP）性能优异，国内产能和需求扩张，但高端领域仍依赖进口。1）FEP是PTFE改性材料，性能优异。2）2022年5月至2023年5月浙江巨化聚全氟乙丙烯日度出厂价平均价格为9.67万元/吨。3）六氟丙烯（HFP）是有机氟工业中极其重要的全氟中间体。4）中国FEP产能结构性过剩，2016-2021年FEP总产能从19000吨/年增加到32000吨/年；总产量从16500吨增加到23000吨，产量年复合增长率约7%。中国化信咨询预计到2025年我国FEP产能可达53000吨/年，但国内高端FEP生产仍有不足，在军工、信息产业等仍依赖进口。5）中国化信咨询预计到2025年，电线电缆行业在FEP下游应用占比或增长到69%，总体消费量达到29000吨，年均复合增长率8%。根据永和股份首次公开发行股票招股说明书援引《中国氟化工发展白皮书（2020）》，2019年电线电缆占FEP下游消费68%。</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可溶性聚四氟乙烯（PFA）综合性能优异，国产化替代空间大。1） PFA性能优异，但生产工艺复杂，国内产能较少，约仅0.75万吨/年。2）2023年6月至2023年7月PFA（美国科慕340X）价格维持在约43.64万元/吨的水平。3）PFA大量应用于半导体工业。PFA市场需求增长，恒州诚思YH预计2021-2028年复合增长率3.34%。4）PFA需求端依赖进口，高端市场由海外企业垄断，索尔维、大金、3M、AGC等海外企业PFA市场份额合计89%。5）芯谋研究预计我国半导体行业市场增速9%，高于全球增速，打开PFA国内市场需求。</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氟橡胶（FKM）性能优异，国产化率低，十四五期间需求有望达1.5万吨。1）氟橡胶在橡胶材料中性能较好，代表高端制造。2）2022年5月7日至2023年5月6日华东地区FKM26平均价格为13.9万元/吨。3）我国通用氟橡胶量大质优，高性能氟橡胶研究虽相对滞后，但研发成果喜人。4）国内主要厂商生产能力约为0.85万吨/年，国外厂商产能约为2.33万吨/年，全球总产能为3.18万吨/年。5）预计“十四五”期间，我国氟橡胶的需求量将达到1.5万吨。</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氟化液是理想的浸没式冷却液，国内液冷数据中心市场规模将超千亿。1）全氟碳化合物为冷却液较为理想的选择。2）从全球市场竞争格局来看，电子氟化液市场长期被国外企业占据，价格高昂，每吨批量采购价超50万元。3） 3M比利时工厂占全球半导体冷却剂80%产能，我们认为停产将促进国产化替代。4）巨化股份积极推进冷却液项目建设，实现国产化突破。国内氟化液主要厂商巨化股份、新宙邦、永和股份已有产能约为0.1万吨/年，在建产能约为1.45万吨/年。5）我国数据中心市场规模将持续增长，2019-2021年机架规模复合增长率达28.48%。2025年中国液冷数据中心市场规模预计将超千亿元。</w:t>
      </w:r>
    </w:p>
    <w:p>
      <w:pPr>
        <w:pStyle w:val="7"/>
        <w:spacing w:before="156" w:beforeLines="50" w:beforeAutospacing="0" w:after="156" w:afterLines="50" w:afterAutospacing="0" w:line="360" w:lineRule="auto"/>
        <w:ind w:firstLine="210" w:firstLineChars="100"/>
        <w:jc w:val="right"/>
        <w:rPr>
          <w:rFonts w:ascii="微软雅黑" w:hAnsi="微软雅黑" w:eastAsia="微软雅黑" w:cs="Calibri"/>
          <w:color w:val="A6A6A6" w:themeColor="background1" w:themeShade="A6"/>
          <w:sz w:val="21"/>
          <w:szCs w:val="21"/>
        </w:rPr>
      </w:pPr>
      <w:r>
        <w:rPr>
          <w:rFonts w:hint="eastAsia" w:ascii="微软雅黑" w:hAnsi="微软雅黑" w:eastAsia="微软雅黑" w:cs="Calibri"/>
          <w:color w:val="A6A6A6" w:themeColor="background1" w:themeShade="A6"/>
          <w:sz w:val="21"/>
          <w:szCs w:val="21"/>
        </w:rPr>
        <w:t>（内容来源：海通证券股份有限公司202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olor w:val="999999"/>
          <w:sz w:val="21"/>
          <w:szCs w:val="21"/>
          <w:shd w:val="clear" w:color="auto" w:fill="FFFFFF"/>
        </w:rPr>
        <w:t>10</w:t>
      </w:r>
      <w:r>
        <w:rPr>
          <w:rFonts w:hint="eastAsia" w:ascii="微软雅黑" w:hAnsi="微软雅黑" w:eastAsia="微软雅黑"/>
          <w:color w:val="999999"/>
          <w:sz w:val="21"/>
          <w:szCs w:val="21"/>
          <w:shd w:val="clear" w:color="auto" w:fill="FFFFFF"/>
        </w:rPr>
        <w:t>-</w:t>
      </w:r>
      <w:r>
        <w:rPr>
          <w:rFonts w:ascii="微软雅黑" w:hAnsi="微软雅黑" w:eastAsia="微软雅黑"/>
          <w:color w:val="999999"/>
          <w:sz w:val="21"/>
          <w:szCs w:val="21"/>
          <w:shd w:val="clear" w:color="auto" w:fill="FFFFFF"/>
        </w:rPr>
        <w:t>27</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2.</w:t>
      </w:r>
      <w:r>
        <w:rPr>
          <w:rFonts w:hint="eastAsia" w:ascii="仿宋" w:hAnsi="仿宋" w:eastAsia="仿宋" w:cs="仿宋"/>
          <w:b/>
          <w:bCs/>
          <w:color w:val="333333"/>
          <w:kern w:val="0"/>
          <w:sz w:val="28"/>
          <w:szCs w:val="28"/>
          <w:shd w:val="clear" w:color="auto" w:fill="FFFFFF"/>
        </w:rPr>
        <w:t>物流行业：直营快运行业格局优化助龙头进阶，加盟快运行业分化中寻找超额</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零担运输介于快递和整车运输之间，主要承接传统制造商/品牌生产商的单票货重在30-3000公斤段货物的运输需求。随着供应链扁平化、柔性化，物流需求的趋势则表现为：大票零担化、零担快递化。从快递、零担到整车，规模效应和进入壁垒依次下降。</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零担可进一步划分为专线/区域网络/全网快运，而伴随着规模效应、网络效应、综合服务能力及信息化水平提升，全网快运在零担市场的占比趋于提升。</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以美为镜：服务溢价与成本管控成就行业龙头。</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美国快运市场是伴随着高端制造业的需求而崛起的大票零担网络。ODFL成长路径和业务模式表现为并购与重资产投入持续扩张，成本控制能力构筑核心竞争力，具体包括专营自有大车队、合理的转运中心建设、路线优化；竞争关键要素在于服务溢价与成本管理能力差异。同时，快递公司向零担快运拓展，行业从集中走向联盟也是21世纪后美国快运市场结构的重要特点。</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对比中美两国，经济和产业结构造成零担行业组织形态和集中度差异，即美国零担以直营模式为主，高集中度；我国以加盟模式的快运网络为主，集中度提升仍有空间。考虑到我国当下正处于制造业转型升级、供给侧加速整合阶段，参考较为成熟的美国零担快运市场，基于服务时效改善下的产品力提升与成本管控差异，我国快运企业的盈利能力仍然具有较大的提升空间。</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中国快运市场路径演绎：规模效应、精益管理与综合服务能力。</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直营制全网快运：格局趋于稳定，进入盈利修复期。全网直营快运网络，基本形成顺丰快运+德邦双寡头的竞争格局，品牌与服务铸就护城河。长期而言，全网直营快运行业有望伴随着中国制造业转型升级而持续增长。</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加盟制快运市场，行业龙头竞争策略分化，整合或将加速。行业正逐渐从单维度的货量竞争迈向多维度的质量竞争，我们看好具备规模优势、精细化管理与信息化水平领先的快运公司。同时，我们看好快递龙头企业向快运零担的能力延伸、资产复用和网络协同。</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1）德邦物流：公司阶段性的战略转型利润承压期已过，随着与京东物流资源整合加速，公司收入有望持续增长，资源复用助力成本费用有望进一步改善；直营快运竞争格局优化，德邦作为头部的直营快运企业，盈利能力有望改善。2）安能物流：公司货量规模居于全网快运公司首位，22年9月开启全面战略转型，通过对组织架构、运营体系、网络生态等方面实行组合拳落实改革，有望提升网络竞争力。3）顺丰控股：直营制快运行业竞争格局优化带动顺丰快运步入盈利修复期，同时看好快递物流龙头通过综合物流的延伸能力带动资产复用和网络协同。</w:t>
      </w:r>
    </w:p>
    <w:p>
      <w:pPr>
        <w:pStyle w:val="7"/>
        <w:spacing w:before="156" w:beforeLines="50" w:beforeAutospacing="0" w:after="156" w:afterLines="50" w:afterAutospacing="0" w:line="360" w:lineRule="auto"/>
        <w:ind w:firstLine="561"/>
        <w:jc w:val="right"/>
        <w:rPr>
          <w:rFonts w:ascii="仿宋" w:hAnsi="仿宋" w:eastAsia="仿宋" w:cs="仿宋"/>
          <w:b/>
          <w:sz w:val="28"/>
          <w:szCs w:val="28"/>
        </w:rPr>
      </w:pPr>
      <w:r>
        <w:rPr>
          <w:rFonts w:hint="eastAsia" w:ascii="微软雅黑" w:hAnsi="微软雅黑" w:eastAsia="微软雅黑" w:cs="Calibri"/>
          <w:color w:val="A6A6A6" w:themeColor="background1" w:themeShade="A6"/>
          <w:sz w:val="21"/>
          <w:szCs w:val="21"/>
        </w:rPr>
        <w:t xml:space="preserve"> （内容来源：天风证券股份有限公司202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10</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23</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kern w:val="0"/>
          <w:sz w:val="28"/>
          <w:szCs w:val="28"/>
          <w:shd w:val="clear" w:color="auto" w:fill="FFFFFF"/>
        </w:rPr>
        <w:t>3.锂电行业：破晓在即，厉兵秣马</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全球新能车渗透率仍处于低位，未来成长空间较大。需求端：国内新能源车销量继续攀升，2023年1-9月，新能源汽车产销分别完成631.3万辆和627.8万辆，同比分别增长33.7%和37.5%。全球视角下，我们预计24年国内新能车销量1116万辆，同比增速25%，渗透率38%，美国销量234万辆，同比增速50%，欧洲销量392万辆，同比增速26%，全球新能车销量1767万辆，同比增速28%。目前海外渗透率较低，随着全球电动化脚步持续推进，海外新能车增速将显著高于国内。</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锂电中游材料和电池厂有望加速出海，消化过剩产能。供给端：2023年9月，我国动力电池产量共计69.9GWh，环比增长8.8%；2023年1-9月，我国动力电池总产量491.5 GWh，整体市场供给充足。电池厂与中游材料厂大规模扩产意愿降低，各行业进一步价格战概率较低，当前节点，各环节价格基本处于低谷，明年盈利能力有望企稳。叠加近期出口形势边际好转，锂电产业链有望穿越层层壁垒，加速出海步伐，消化过剩产能。</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高压快充渗透率提升，新能车销量结构有望进一步改善。高电压快充有望破解新能源汽车存在的续航、补能焦虑，全球各大汽车厂商纷纷推出800V高电压平台车型，2022年以来，800V车型极狐阿尔法S、小鹏G9、长城机甲龙、昊铂HT等陆续上市，预计到2025年主流车型将支持高压快充，高压快充车型渗透率将高速增长，同步会改善新能车销量结构，未来纯电动汽车的销量占比有望超预期。</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多家锂电公司三季度业绩表现优异，行业估值进入底部区域。1）电池：头部电池厂商毛利率环比提升，随稼动率提升，毛利率有望保持。宁德时代24年业绩预期下修充分，根据我们的盈利预测当前时点对应PE仅16倍。当前压制估值的主要因素是电池龙头企业出海的可行性，未来持续关注出口形势边际变化、IRA细则落地以及美国福特项目进展。2）电解液：当前整体行业基本处于盈利底部区间，估值相对较低。天赐材料具备一体化成本优势，盈利能力与其他厂商差距较大，市占率有望进一步提升。3）结构件：结构件是中游材料格局中业绩相对有保障的环节。科达利盈利能力坚韧，降价扰动基本可以体内消化。4）隔膜：隔膜龙头地位持续强化。星源材质盈利能力超预期，后续新产线投产仍有较大降本空间。5）负极：2024年快充车型量产或将驱动负极材料市场高增速，行业竞争对手大规模扩产节奏放缓，盈利能力有望企稳。</w:t>
      </w:r>
    </w:p>
    <w:p>
      <w:pPr>
        <w:pStyle w:val="7"/>
        <w:spacing w:before="156" w:beforeLines="50" w:beforeAutospacing="0" w:after="156" w:afterLines="50" w:afterAutospacing="0" w:line="360" w:lineRule="auto"/>
        <w:ind w:firstLine="561"/>
        <w:jc w:val="right"/>
        <w:rPr>
          <w:rFonts w:ascii="微软雅黑" w:hAnsi="微软雅黑" w:eastAsia="微软雅黑" w:cs="Calibri"/>
          <w:color w:val="A6A6A6" w:themeColor="background1" w:themeShade="A6"/>
          <w:sz w:val="21"/>
          <w:szCs w:val="21"/>
        </w:rPr>
      </w:pPr>
      <w:r>
        <w:rPr>
          <w:rFonts w:hint="eastAsia" w:ascii="仿宋" w:hAnsi="仿宋" w:eastAsia="仿宋" w:cs="仿宋"/>
          <w:color w:val="333333"/>
          <w:sz w:val="28"/>
          <w:szCs w:val="28"/>
          <w:shd w:val="clear" w:color="auto" w:fill="FFFFFF"/>
        </w:rPr>
        <w:t xml:space="preserve">                  </w:t>
      </w:r>
      <w:r>
        <w:rPr>
          <w:rFonts w:hint="eastAsia" w:ascii="微软雅黑" w:hAnsi="微软雅黑" w:eastAsia="微软雅黑" w:cs="Calibri"/>
          <w:color w:val="A6A6A6" w:themeColor="background1" w:themeShade="A6"/>
          <w:sz w:val="21"/>
          <w:szCs w:val="21"/>
        </w:rPr>
        <w:t>（内容来源：民生证券有限责任公司202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10</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27</w:t>
      </w:r>
      <w:r>
        <w:rPr>
          <w:rFonts w:hint="eastAsia" w:ascii="微软雅黑" w:hAnsi="微软雅黑" w:eastAsia="微软雅黑" w:cs="Calibri"/>
          <w:color w:val="A6A6A6" w:themeColor="background1" w:themeShade="A6"/>
          <w:sz w:val="21"/>
          <w:szCs w:val="21"/>
        </w:rPr>
        <w:t>）</w:t>
      </w:r>
    </w:p>
    <w:p>
      <w:pPr>
        <w:spacing w:before="156" w:beforeLines="50" w:after="156" w:afterLines="50"/>
        <w:rPr>
          <w:rFonts w:ascii="仿宋" w:hAnsi="仿宋" w:eastAsia="仿宋"/>
          <w:b/>
          <w:sz w:val="28"/>
        </w:rPr>
      </w:pPr>
      <w:r>
        <w:rPr>
          <w:rFonts w:ascii="仿宋" w:hAnsi="仿宋" w:eastAsia="仿宋"/>
          <w:b/>
          <w:sz w:val="28"/>
        </w:rPr>
        <w:t>三</w:t>
      </w:r>
      <w:r>
        <w:rPr>
          <w:rFonts w:hint="eastAsia" w:ascii="仿宋" w:hAnsi="仿宋" w:eastAsia="仿宋"/>
          <w:b/>
          <w:sz w:val="28"/>
        </w:rPr>
        <w:t>、河南辖区上市公司基本情况</w:t>
      </w:r>
    </w:p>
    <w:p>
      <w:pPr>
        <w:spacing w:line="360" w:lineRule="auto"/>
        <w:ind w:firstLine="560" w:firstLineChars="200"/>
        <w:rPr>
          <w:rFonts w:ascii="仿宋" w:hAnsi="仿宋" w:eastAsia="仿宋"/>
          <w:sz w:val="28"/>
        </w:rPr>
      </w:pPr>
      <w:r>
        <w:rPr>
          <w:rFonts w:hint="eastAsia" w:ascii="仿宋" w:hAnsi="仿宋" w:eastAsia="仿宋"/>
          <w:sz w:val="28"/>
        </w:rPr>
        <w:t>截至2023年10月31日,河南辖区共有</w:t>
      </w:r>
      <w:r>
        <w:rPr>
          <w:rFonts w:ascii="仿宋" w:hAnsi="仿宋" w:eastAsia="仿宋"/>
          <w:sz w:val="28"/>
        </w:rPr>
        <w:t>A股上市公司110</w:t>
      </w:r>
      <w:r>
        <w:rPr>
          <w:rFonts w:hint="eastAsia" w:ascii="仿宋" w:hAnsi="仿宋" w:eastAsia="仿宋"/>
          <w:sz w:val="28"/>
        </w:rPr>
        <w:t>家。位居全国第13位（按照协会口径统计）。其中上交所主板29家，科创板5家，深交所主板36家、创业板28家。</w:t>
      </w:r>
    </w:p>
    <w:p>
      <w:pPr>
        <w:spacing w:line="360" w:lineRule="auto"/>
        <w:ind w:firstLine="560" w:firstLineChars="200"/>
        <w:rPr>
          <w:rFonts w:ascii="仿宋" w:hAnsi="仿宋" w:eastAsia="仿宋"/>
          <w:sz w:val="28"/>
        </w:rPr>
      </w:pPr>
      <w:r>
        <w:rPr>
          <w:rFonts w:hint="eastAsia" w:ascii="仿宋" w:hAnsi="仿宋" w:eastAsia="仿宋"/>
          <w:sz w:val="28"/>
        </w:rPr>
        <w:t>截至2023年10月31日,河南辖区A股上市公司的总市值为13,464.73亿元，占</w:t>
      </w:r>
      <w:r>
        <w:rPr>
          <w:rFonts w:ascii="仿宋" w:hAnsi="仿宋" w:eastAsia="仿宋"/>
          <w:sz w:val="28"/>
        </w:rPr>
        <w:t>A股上市公司总市值的1.52%</w:t>
      </w:r>
      <w:r>
        <w:rPr>
          <w:rFonts w:hint="eastAsia" w:ascii="仿宋" w:hAnsi="仿宋" w:eastAsia="仿宋"/>
          <w:sz w:val="28"/>
        </w:rPr>
        <w:t>。2023年河南辖区上市公司再融资（含增发、配股）募集资金总额为6</w:t>
      </w:r>
      <w:r>
        <w:rPr>
          <w:rFonts w:ascii="仿宋" w:hAnsi="仿宋" w:eastAsia="仿宋"/>
          <w:sz w:val="28"/>
        </w:rPr>
        <w:t>3</w:t>
      </w:r>
      <w:r>
        <w:rPr>
          <w:rFonts w:hint="eastAsia" w:ascii="仿宋" w:hAnsi="仿宋" w:eastAsia="仿宋"/>
          <w:sz w:val="28"/>
        </w:rPr>
        <w:t>.0</w:t>
      </w:r>
      <w:r>
        <w:rPr>
          <w:rFonts w:ascii="仿宋" w:hAnsi="仿宋" w:eastAsia="仿宋"/>
          <w:sz w:val="28"/>
        </w:rPr>
        <w:t>7</w:t>
      </w:r>
      <w:r>
        <w:rPr>
          <w:rFonts w:hint="eastAsia" w:ascii="仿宋" w:hAnsi="仿宋" w:eastAsia="仿宋"/>
          <w:sz w:val="28"/>
        </w:rPr>
        <w:t>亿元。</w:t>
      </w: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图1　上市公司市值排名行业分布图</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730750" cy="2425065"/>
            <wp:effectExtent l="0" t="0" r="12700" b="1333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图2  市值排名前十的</w:t>
      </w:r>
      <w:r>
        <w:rPr>
          <w:rFonts w:ascii="仿宋" w:hAnsi="仿宋" w:eastAsia="仿宋"/>
          <w:b/>
          <w:sz w:val="24"/>
        </w:rPr>
        <w:t>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770120" cy="2353310"/>
            <wp:effectExtent l="0" t="0" r="11430" b="889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rPr>
          <w:rFonts w:ascii="仿宋" w:hAnsi="仿宋" w:eastAsia="仿宋"/>
          <w:b/>
          <w:sz w:val="24"/>
        </w:rPr>
      </w:pPr>
      <w:r>
        <w:rPr>
          <w:rFonts w:ascii="仿宋" w:hAnsi="仿宋" w:eastAsia="仿宋"/>
          <w:b/>
          <w:sz w:val="24"/>
        </w:rPr>
        <w:t>图3  月成交额排名前十的上市公司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794250" cy="2249805"/>
            <wp:effectExtent l="0" t="0" r="6350" b="1714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before="156" w:beforeLines="50" w:after="156" w:afterLines="50"/>
        <w:rPr>
          <w:rFonts w:ascii="仿宋" w:hAnsi="仿宋" w:eastAsia="仿宋"/>
          <w:b/>
          <w:sz w:val="28"/>
        </w:rPr>
      </w:pPr>
      <w:r>
        <w:rPr>
          <w:rFonts w:hint="eastAsia" w:ascii="仿宋" w:hAnsi="仿宋" w:eastAsia="仿宋"/>
          <w:b/>
          <w:sz w:val="28"/>
        </w:rPr>
        <w:t>四、河南辖区上市公司10月市场表现分析</w:t>
      </w:r>
    </w:p>
    <w:p>
      <w:pPr>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t>月双节后大盘全天探底回升，三大指数均小幅下跌。其中华为概念股继续活跃，高压快充概念股集体走强，减肥药概念股探底回升，大消费板块集体调整。</w:t>
      </w:r>
      <w:r>
        <w:rPr>
          <w:rFonts w:ascii="仿宋" w:hAnsi="仿宋" w:eastAsia="仿宋" w:cs="仿宋"/>
          <w:sz w:val="28"/>
          <w:szCs w:val="28"/>
        </w:rPr>
        <w:t>12</w:t>
      </w:r>
      <w:r>
        <w:rPr>
          <w:rFonts w:hint="eastAsia" w:ascii="仿宋" w:hAnsi="仿宋" w:eastAsia="仿宋" w:cs="仿宋"/>
          <w:sz w:val="28"/>
          <w:szCs w:val="28"/>
        </w:rPr>
        <w:t>日大盘全天高开后震荡反弹，沪指领涨。新能源汽车产业链迎来了集体爆发，锂矿、整车零部件等细分方向均涨幅居前。受汇金公司增持四大行利好刺激，大金融板块表现活跃，并助力指数延续反弹。1</w:t>
      </w:r>
      <w:r>
        <w:rPr>
          <w:rFonts w:ascii="仿宋" w:hAnsi="仿宋" w:eastAsia="仿宋" w:cs="仿宋"/>
          <w:sz w:val="28"/>
          <w:szCs w:val="28"/>
        </w:rPr>
        <w:t>8</w:t>
      </w:r>
      <w:r>
        <w:rPr>
          <w:rFonts w:hint="eastAsia" w:ascii="仿宋" w:hAnsi="仿宋" w:eastAsia="仿宋" w:cs="仿宋"/>
          <w:sz w:val="28"/>
          <w:szCs w:val="28"/>
        </w:rPr>
        <w:t>日三大指数再度全线下挫，两市不足600只个股飘红，资金持续抱团华为产业链。2</w:t>
      </w:r>
      <w:r>
        <w:rPr>
          <w:rFonts w:ascii="仿宋" w:hAnsi="仿宋" w:eastAsia="仿宋" w:cs="仿宋"/>
          <w:sz w:val="28"/>
          <w:szCs w:val="28"/>
        </w:rPr>
        <w:t>4</w:t>
      </w:r>
      <w:r>
        <w:rPr>
          <w:rFonts w:hint="eastAsia" w:ascii="仿宋" w:hAnsi="仿宋" w:eastAsia="仿宋" w:cs="仿宋"/>
          <w:sz w:val="28"/>
          <w:szCs w:val="28"/>
        </w:rPr>
        <w:t>日大盘全天震荡反弹，创业板指领涨，两市超4500家个股飘红。截至收盘，沪指涨0.78%，深成指涨0.61%，创业板指涨0.85%。</w:t>
      </w:r>
      <w:r>
        <w:rPr>
          <w:rFonts w:ascii="仿宋" w:hAnsi="仿宋" w:eastAsia="仿宋"/>
          <w:color w:val="000000" w:themeColor="text1"/>
          <w:sz w:val="28"/>
          <w14:textFill>
            <w14:solidFill>
              <w14:schemeClr w14:val="tx1"/>
            </w14:solidFill>
          </w14:textFill>
        </w:rPr>
        <w:t>及至月末，上证综指下跌2.52%</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3,018.77</w:t>
      </w:r>
      <w:r>
        <w:rPr>
          <w:rFonts w:hint="eastAsia" w:ascii="仿宋" w:hAnsi="仿宋" w:eastAsia="仿宋"/>
          <w:color w:val="000000" w:themeColor="text1"/>
          <w:sz w:val="28"/>
          <w14:textFill>
            <w14:solidFill>
              <w14:schemeClr w14:val="tx1"/>
            </w14:solidFill>
          </w14:textFill>
        </w:rPr>
        <w:t>点；深证成指</w:t>
      </w:r>
      <w:r>
        <w:rPr>
          <w:rFonts w:ascii="仿宋" w:hAnsi="仿宋" w:eastAsia="仿宋"/>
          <w:color w:val="000000" w:themeColor="text1"/>
          <w:sz w:val="28"/>
          <w14:textFill>
            <w14:solidFill>
              <w14:schemeClr w14:val="tx1"/>
            </w14:solidFill>
          </w14:textFill>
        </w:rPr>
        <w:t>下跌2.41%</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9,863.80</w:t>
      </w:r>
      <w:r>
        <w:rPr>
          <w:rFonts w:hint="eastAsia" w:ascii="仿宋" w:hAnsi="仿宋" w:eastAsia="仿宋"/>
          <w:color w:val="000000" w:themeColor="text1"/>
          <w:sz w:val="28"/>
          <w14:textFill>
            <w14:solidFill>
              <w14:schemeClr w14:val="tx1"/>
            </w14:solidFill>
          </w14:textFill>
        </w:rPr>
        <w:t>点；创业板指下跌1.52%，报收</w:t>
      </w:r>
      <w:r>
        <w:rPr>
          <w:rFonts w:ascii="仿宋" w:hAnsi="仿宋" w:eastAsia="仿宋"/>
          <w:color w:val="000000" w:themeColor="text1"/>
          <w:sz w:val="28"/>
          <w14:textFill>
            <w14:solidFill>
              <w14:schemeClr w14:val="tx1"/>
            </w14:solidFill>
          </w14:textFill>
        </w:rPr>
        <w:t>1,968.23</w:t>
      </w:r>
      <w:r>
        <w:rPr>
          <w:rFonts w:hint="eastAsia" w:ascii="仿宋" w:hAnsi="仿宋" w:eastAsia="仿宋"/>
          <w:color w:val="000000" w:themeColor="text1"/>
          <w:sz w:val="28"/>
          <w14:textFill>
            <w14:solidFill>
              <w14:schemeClr w14:val="tx1"/>
            </w14:solidFill>
          </w14:textFill>
        </w:rPr>
        <w:t>点。</w:t>
      </w:r>
    </w:p>
    <w:p>
      <w:pPr>
        <w:spacing w:after="156" w:afterLines="50"/>
        <w:ind w:firstLine="560" w:firstLineChars="200"/>
        <w:rPr>
          <w:rFonts w:ascii="仿宋" w:hAnsi="仿宋" w:eastAsia="仿宋"/>
          <w:b/>
          <w:sz w:val="24"/>
        </w:rPr>
      </w:pPr>
      <w:r>
        <w:rPr>
          <w:rFonts w:hint="eastAsia" w:ascii="仿宋" w:hAnsi="仿宋" w:eastAsia="仿宋"/>
          <w:sz w:val="28"/>
        </w:rPr>
        <w:t>2023年10月，河南</w:t>
      </w:r>
      <w:r>
        <w:rPr>
          <w:rFonts w:ascii="仿宋" w:hAnsi="仿宋" w:eastAsia="仿宋"/>
          <w:sz w:val="28"/>
        </w:rPr>
        <w:t>辖区</w:t>
      </w:r>
      <w:r>
        <w:rPr>
          <w:rFonts w:hint="eastAsia" w:ascii="仿宋" w:hAnsi="仿宋" w:eastAsia="仿宋"/>
          <w:sz w:val="28"/>
        </w:rPr>
        <w:t>涨幅排名前10位的股票中，材料占据4席，医疗保健占据2席，日常消费、可选消费、工业和公用事业各占据1席，涨幅最大的是飞龙股份，</w:t>
      </w:r>
      <w:r>
        <w:rPr>
          <w:rFonts w:ascii="仿宋" w:hAnsi="仿宋" w:eastAsia="仿宋"/>
          <w:sz w:val="28"/>
        </w:rPr>
        <w:t>上涨</w:t>
      </w:r>
      <w:r>
        <w:rPr>
          <w:rFonts w:hint="eastAsia" w:ascii="仿宋" w:hAnsi="仿宋" w:eastAsia="仿宋"/>
          <w:sz w:val="28"/>
        </w:rPr>
        <w:t>20.71%；其次是中孚实业，</w:t>
      </w:r>
      <w:r>
        <w:rPr>
          <w:rFonts w:ascii="仿宋" w:hAnsi="仿宋" w:eastAsia="仿宋"/>
          <w:sz w:val="28"/>
        </w:rPr>
        <w:t>上涨</w:t>
      </w:r>
      <w:r>
        <w:rPr>
          <w:rFonts w:hint="eastAsia" w:ascii="仿宋" w:hAnsi="仿宋" w:eastAsia="仿宋"/>
          <w:sz w:val="28"/>
        </w:rPr>
        <w:t>20.57%。</w:t>
      </w:r>
    </w:p>
    <w:p>
      <w:pPr>
        <w:spacing w:after="156" w:afterLines="50"/>
        <w:jc w:val="center"/>
        <w:rPr>
          <w:rFonts w:ascii="仿宋" w:hAnsi="仿宋" w:eastAsia="仿宋"/>
          <w:b/>
          <w:sz w:val="24"/>
        </w:rPr>
      </w:pPr>
      <w:r>
        <w:rPr>
          <w:rFonts w:hint="eastAsia" w:ascii="仿宋" w:hAnsi="仿宋" w:eastAsia="仿宋"/>
          <w:b/>
          <w:sz w:val="24"/>
        </w:rPr>
        <w:t>表1  月涨幅前10的股票</w:t>
      </w:r>
    </w:p>
    <w:tbl>
      <w:tblPr>
        <w:tblStyle w:val="9"/>
        <w:tblW w:w="10201" w:type="dxa"/>
        <w:jc w:val="center"/>
        <w:tblLayout w:type="fixed"/>
        <w:tblCellMar>
          <w:top w:w="0" w:type="dxa"/>
          <w:left w:w="108" w:type="dxa"/>
          <w:bottom w:w="0" w:type="dxa"/>
          <w:right w:w="108" w:type="dxa"/>
        </w:tblCellMar>
      </w:tblPr>
      <w:tblGrid>
        <w:gridCol w:w="705"/>
        <w:gridCol w:w="1276"/>
        <w:gridCol w:w="1133"/>
        <w:gridCol w:w="1556"/>
        <w:gridCol w:w="1714"/>
        <w:gridCol w:w="1767"/>
        <w:gridCol w:w="2050"/>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月涨幅（</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（2023-10-31）</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002536.SZ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飞龙股份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20.71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15.27</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106.99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600595.SH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中孚实业</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20.57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3.40</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13.33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300850.SZ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新强联</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19.19</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36.96</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-30.46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600186.SH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莲花健康</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18.90</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7.11</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162.36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600222.SH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太龙药业</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15.92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6.48</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1.73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688626.SH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翔宇医疗</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13.82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50.16</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58.22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688357.SH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建龙微纳</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12.13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56.49</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-27.87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000612.SZ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焦作万方</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11.48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5.73</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11.44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600569.SH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安阳钢铁</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8.37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2.33</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12.56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001896.SZ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豫能控股</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8.02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4.85</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-7.79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公用事业</w:t>
            </w:r>
          </w:p>
        </w:tc>
      </w:tr>
    </w:tbl>
    <w:p>
      <w:pPr>
        <w:spacing w:before="156" w:beforeLines="50" w:after="156" w:afterLines="50"/>
        <w:ind w:firstLine="560" w:firstLineChars="200"/>
        <w:rPr>
          <w:rFonts w:ascii="仿宋" w:hAnsi="仿宋" w:eastAsia="仿宋"/>
          <w:sz w:val="28"/>
        </w:rPr>
      </w:pPr>
      <w:r>
        <w:rPr>
          <w:rFonts w:hint="eastAsia" w:ascii="仿宋" w:hAnsi="仿宋" w:eastAsia="仿宋"/>
          <w:sz w:val="28"/>
        </w:rPr>
        <w:t>跌幅前</w:t>
      </w:r>
      <w:r>
        <w:rPr>
          <w:rFonts w:ascii="仿宋" w:hAnsi="仿宋" w:eastAsia="仿宋"/>
          <w:sz w:val="28"/>
        </w:rPr>
        <w:t>10位的股票中，</w:t>
      </w:r>
      <w:r>
        <w:rPr>
          <w:rFonts w:hint="eastAsia" w:ascii="仿宋" w:hAnsi="仿宋" w:eastAsia="仿宋"/>
          <w:sz w:val="28"/>
        </w:rPr>
        <w:t>可选消费和工业各占据3席，材料和医疗保健各占据2席，跌幅最大的为远东传动，下跌18.77</w:t>
      </w:r>
      <w:r>
        <w:rPr>
          <w:rFonts w:ascii="仿宋" w:hAnsi="仿宋" w:eastAsia="仿宋"/>
          <w:sz w:val="28"/>
        </w:rPr>
        <w:t>%</w:t>
      </w:r>
      <w:r>
        <w:rPr>
          <w:rFonts w:hint="eastAsia" w:ascii="仿宋" w:hAnsi="仿宋" w:eastAsia="仿宋"/>
          <w:sz w:val="28"/>
        </w:rPr>
        <w:t>;其次为惠丰钻石，下跌12.56</w:t>
      </w:r>
      <w:r>
        <w:rPr>
          <w:rFonts w:ascii="仿宋" w:hAnsi="仿宋" w:eastAsia="仿宋"/>
          <w:sz w:val="28"/>
        </w:rPr>
        <w:t>%。</w:t>
      </w:r>
    </w:p>
    <w:p>
      <w:pPr>
        <w:spacing w:after="156" w:afterLines="50"/>
        <w:jc w:val="center"/>
        <w:rPr>
          <w:rFonts w:ascii="仿宋" w:hAnsi="仿宋" w:eastAsia="仿宋"/>
          <w:b/>
          <w:sz w:val="24"/>
        </w:rPr>
      </w:pPr>
      <w:r>
        <w:rPr>
          <w:rFonts w:hint="eastAsia" w:ascii="仿宋" w:hAnsi="仿宋" w:eastAsia="仿宋"/>
          <w:b/>
          <w:sz w:val="24"/>
        </w:rPr>
        <w:t>表2  月跌幅前10的股票</w:t>
      </w:r>
    </w:p>
    <w:tbl>
      <w:tblPr>
        <w:tblStyle w:val="9"/>
        <w:tblW w:w="10060" w:type="dxa"/>
        <w:jc w:val="center"/>
        <w:tblLayout w:type="fixed"/>
        <w:tblCellMar>
          <w:top w:w="0" w:type="dxa"/>
          <w:left w:w="108" w:type="dxa"/>
          <w:bottom w:w="0" w:type="dxa"/>
          <w:right w:w="108" w:type="dxa"/>
        </w:tblCellMar>
      </w:tblPr>
      <w:tblGrid>
        <w:gridCol w:w="705"/>
        <w:gridCol w:w="1276"/>
        <w:gridCol w:w="1133"/>
        <w:gridCol w:w="1556"/>
        <w:gridCol w:w="1714"/>
        <w:gridCol w:w="1767"/>
        <w:gridCol w:w="1909"/>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月跌幅（</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（2023-10-31）</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002406.SZ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远东传动</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-18.77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6.19</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33.06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839725.BJ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惠丰钻石</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-12.56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11.28</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-34.90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002535.SZ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林州重机</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-12.48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4.84</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95.95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301207.SZ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华兰疫苗</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-12.38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29.79</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0.84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600285.SH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羚锐制药</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-11.67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15.82</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25.97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000400.SZ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许继电气</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-11.50</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17.16</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-13.51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600172.SH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黄河旋风</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-11.45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3.48</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-28.10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002046.SZ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国机精工</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-11.15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10.04</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-7.80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002087.SZ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*ST新纺</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-10.59</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2.11</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-33.02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002448.SZ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中原内配</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-10.34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6.42</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 xml:space="preserve"> 21.29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bl>
    <w:p>
      <w:pPr>
        <w:spacing w:before="156" w:beforeLines="50" w:after="156" w:afterLines="50"/>
        <w:rPr>
          <w:rFonts w:ascii="仿宋" w:hAnsi="仿宋" w:eastAsia="仿宋"/>
          <w:b/>
          <w:sz w:val="28"/>
        </w:rPr>
      </w:pPr>
      <w:r>
        <w:rPr>
          <w:rFonts w:hint="eastAsia" w:ascii="仿宋" w:hAnsi="仿宋" w:eastAsia="仿宋"/>
          <w:b/>
          <w:sz w:val="28"/>
        </w:rPr>
        <w:t>五、河南</w:t>
      </w:r>
      <w:r>
        <w:rPr>
          <w:rFonts w:ascii="仿宋" w:hAnsi="仿宋" w:eastAsia="仿宋"/>
          <w:b/>
          <w:sz w:val="28"/>
        </w:rPr>
        <w:t>辖区</w:t>
      </w:r>
      <w:r>
        <w:rPr>
          <w:rFonts w:hint="eastAsia" w:ascii="仿宋" w:hAnsi="仿宋" w:eastAsia="仿宋"/>
          <w:b/>
          <w:sz w:val="28"/>
        </w:rPr>
        <w:t>上市公司</w:t>
      </w:r>
      <w:r>
        <w:rPr>
          <w:rFonts w:ascii="仿宋" w:hAnsi="仿宋" w:eastAsia="仿宋"/>
          <w:b/>
          <w:sz w:val="28"/>
        </w:rPr>
        <w:t>10月重大事项</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1.IPO相关</w:t>
      </w:r>
    </w:p>
    <w:p>
      <w:pPr>
        <w:spacing w:before="156" w:beforeLines="50" w:after="156" w:afterLines="50"/>
        <w:ind w:firstLine="560" w:firstLineChars="200"/>
        <w:rPr>
          <w:rFonts w:ascii="仿宋" w:hAnsi="仿宋" w:eastAsia="仿宋"/>
          <w:sz w:val="28"/>
        </w:rPr>
      </w:pPr>
      <w:r>
        <w:rPr>
          <w:rFonts w:hint="eastAsia" w:ascii="仿宋" w:hAnsi="仿宋" w:eastAsia="仿宋"/>
          <w:sz w:val="28"/>
        </w:rPr>
        <w:t>本月无IPO上市、获发批文及过会事宜。</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2.资本运作</w:t>
      </w:r>
    </w:p>
    <w:p>
      <w:pPr>
        <w:spacing w:before="156" w:beforeLines="50" w:after="156" w:afterLines="50"/>
        <w:ind w:firstLine="560" w:firstLineChars="200"/>
        <w:rPr>
          <w:rFonts w:hint="eastAsia" w:ascii="仿宋" w:hAnsi="仿宋" w:eastAsia="仿宋"/>
          <w:sz w:val="28"/>
        </w:rPr>
      </w:pPr>
      <w:r>
        <w:rPr>
          <w:rFonts w:hint="eastAsia" w:ascii="仿宋" w:hAnsi="仿宋" w:eastAsia="仿宋"/>
          <w:sz w:val="28"/>
        </w:rPr>
        <w:t>本月无再融资预案披露事项。</w:t>
      </w:r>
    </w:p>
    <w:p>
      <w:pPr>
        <w:spacing w:before="156" w:beforeLines="50" w:after="156" w:afterLines="50"/>
        <w:jc w:val="center"/>
        <w:rPr>
          <w:rFonts w:ascii="仿宋" w:hAnsi="仿宋" w:eastAsia="仿宋"/>
          <w:b/>
          <w:sz w:val="24"/>
        </w:rPr>
      </w:pPr>
      <w:r>
        <w:rPr>
          <w:rFonts w:ascii="仿宋" w:hAnsi="仿宋" w:eastAsia="仿宋"/>
          <w:b/>
          <w:sz w:val="24"/>
        </w:rPr>
        <w:t>表3  对外投资事项</w:t>
      </w:r>
    </w:p>
    <w:tbl>
      <w:tblPr>
        <w:tblStyle w:val="9"/>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1161"/>
        <w:gridCol w:w="1134"/>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2023-10-27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本次使用暂时闲置募集资金和自有资金进行现金管理。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2023-10-27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郑州众智科技股份有限公司（以下简称“公司”）于2023年10月26日召开的第五届董事会第四次会议、第五届监事会第四次会议分别审议通过了&lt;&lt;关于使用部分闲置自有资金进行现金管理的的议案&gt;&gt;，同意在确保公司正常生产经营和资金安全，并满足日常运营资金流动性需求的前提下，公司使用不超过人民币3亿元的闲置自有资金额度进行现金管理，自董事会审议通过之日起36个月内可循环滚动使用。该议案在公司董事会权限范围内，无需提交股东大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2023-10-21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002536.SZ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飞龙股份</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公司及公司子公司近期购买了理财产品。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2023-10-21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002560.SZ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通达股份</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近日，公司（含下属全资子公司）使用部分暂时闲置募集资金进行了现金管理。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2023-10-21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603658.SH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安图生物</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现金管理种类：大额存单。现金管理金额：27,000万元非公开发行股票闲置募集资金。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2023-10-19</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002179.SZ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中航光电</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近日，公司向中国民生银行股份有限公司洛阳分行申购1笔结构性存款，金额22,000万元。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2023-10-19</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近日，公司使用部分闲置募集资金及自有资金认购了理财产品。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2023-10-12</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300829.SZ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金丹科技</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公司近日使用部分闲置募集资金在授权范围内购买了理财产品。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2023-10-11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本次使用暂时闲置募集资金和自有资金进行现金管理。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2023-10-10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本次使用暂时闲置募集资金和自有资金进行现金管理。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2023-10-09</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61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本次使用暂时闲置自有资金进行现金管理。</w:t>
            </w:r>
          </w:p>
        </w:tc>
      </w:tr>
    </w:tbl>
    <w:p>
      <w:pPr>
        <w:spacing w:after="156" w:afterLines="50"/>
        <w:ind w:firstLine="481" w:firstLineChars="200"/>
        <w:jc w:val="center"/>
        <w:rPr>
          <w:rFonts w:ascii="仿宋" w:hAnsi="仿宋" w:eastAsia="仿宋" w:cs="仿宋"/>
          <w:b/>
          <w:sz w:val="28"/>
          <w:szCs w:val="28"/>
        </w:rPr>
      </w:pPr>
      <w:r>
        <w:rPr>
          <w:rFonts w:hint="eastAsia" w:ascii="仿宋" w:hAnsi="仿宋" w:eastAsia="仿宋" w:cs="仿宋"/>
          <w:b/>
          <w:sz w:val="24"/>
        </w:rPr>
        <w:t>表4　再融资实施完成事项</w:t>
      </w:r>
    </w:p>
    <w:tbl>
      <w:tblPr>
        <w:tblStyle w:val="9"/>
        <w:tblW w:w="8533" w:type="dxa"/>
        <w:jc w:val="center"/>
        <w:tblLayout w:type="fixed"/>
        <w:tblCellMar>
          <w:top w:w="0" w:type="dxa"/>
          <w:left w:w="108" w:type="dxa"/>
          <w:bottom w:w="0" w:type="dxa"/>
          <w:right w:w="108" w:type="dxa"/>
        </w:tblCellMar>
      </w:tblPr>
      <w:tblGrid>
        <w:gridCol w:w="661"/>
        <w:gridCol w:w="1198"/>
        <w:gridCol w:w="1197"/>
        <w:gridCol w:w="1328"/>
        <w:gridCol w:w="1328"/>
        <w:gridCol w:w="1095"/>
        <w:gridCol w:w="1726"/>
      </w:tblGrid>
      <w:tr>
        <w:tblPrEx>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证券代码</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证券名称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发行日期</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上市日期</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事项类型</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发行规模(亿元)</w:t>
            </w:r>
          </w:p>
        </w:tc>
      </w:tr>
      <w:tr>
        <w:tblPrEx>
          <w:tblCellMar>
            <w:top w:w="0" w:type="dxa"/>
            <w:left w:w="108" w:type="dxa"/>
            <w:bottom w:w="0" w:type="dxa"/>
            <w:right w:w="108" w:type="dxa"/>
          </w:tblCellMar>
        </w:tblPrEx>
        <w:trPr>
          <w:trHeight w:val="27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18"/>
              </w:rPr>
              <w:t>300850.SZ</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新强联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2023-09-26</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2023-10-31</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增发</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3.50</w:t>
            </w:r>
          </w:p>
        </w:tc>
      </w:tr>
      <w:tr>
        <w:tblPrEx>
          <w:tblCellMar>
            <w:top w:w="0" w:type="dxa"/>
            <w:left w:w="108" w:type="dxa"/>
            <w:bottom w:w="0" w:type="dxa"/>
            <w:right w:w="108" w:type="dxa"/>
          </w:tblCellMar>
        </w:tblPrEx>
        <w:trPr>
          <w:trHeight w:val="27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18"/>
              </w:rPr>
              <w:t>002536.SZ</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飞龙股份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2023-08-29</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2023-10-16</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增发</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7.80</w:t>
            </w:r>
          </w:p>
        </w:tc>
      </w:tr>
    </w:tbl>
    <w:p>
      <w:pPr>
        <w:spacing w:before="156" w:beforeLines="50" w:after="156" w:afterLines="50"/>
        <w:jc w:val="center"/>
        <w:rPr>
          <w:rFonts w:ascii="仿宋" w:hAnsi="仿宋" w:eastAsia="仿宋"/>
          <w:b/>
          <w:sz w:val="24"/>
        </w:rPr>
      </w:pPr>
      <w:r>
        <w:rPr>
          <w:rFonts w:ascii="仿宋" w:hAnsi="仿宋" w:eastAsia="仿宋"/>
          <w:b/>
          <w:sz w:val="24"/>
        </w:rPr>
        <w:t>表5　上市公司重大资产重组事项</w:t>
      </w:r>
    </w:p>
    <w:tbl>
      <w:tblPr>
        <w:tblStyle w:val="9"/>
        <w:tblW w:w="10696" w:type="dxa"/>
        <w:jc w:val="center"/>
        <w:tblLayout w:type="fixed"/>
        <w:tblCellMar>
          <w:top w:w="0" w:type="dxa"/>
          <w:left w:w="108" w:type="dxa"/>
          <w:bottom w:w="0" w:type="dxa"/>
          <w:right w:w="108" w:type="dxa"/>
        </w:tblCellMar>
      </w:tblPr>
      <w:tblGrid>
        <w:gridCol w:w="818"/>
        <w:gridCol w:w="1341"/>
        <w:gridCol w:w="1227"/>
        <w:gridCol w:w="1347"/>
        <w:gridCol w:w="1347"/>
        <w:gridCol w:w="1347"/>
        <w:gridCol w:w="1446"/>
        <w:gridCol w:w="1823"/>
      </w:tblGrid>
      <w:tr>
        <w:tblPrEx>
          <w:tblCellMar>
            <w:top w:w="0" w:type="dxa"/>
            <w:left w:w="108" w:type="dxa"/>
            <w:bottom w:w="0" w:type="dxa"/>
            <w:right w:w="108" w:type="dxa"/>
          </w:tblCellMar>
        </w:tblPrEx>
        <w:trPr>
          <w:trHeight w:val="270" w:hRule="atLeast"/>
          <w:jc w:val="center"/>
        </w:trPr>
        <w:tc>
          <w:tcPr>
            <w:tcW w:w="81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rPr>
            </w:pPr>
            <w:r>
              <w:rPr>
                <w:rFonts w:hint="eastAsia" w:ascii="仿宋" w:hAnsi="仿宋" w:eastAsia="仿宋"/>
                <w:b/>
              </w:rPr>
              <w:t>序号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证券代码</w:t>
            </w:r>
          </w:p>
        </w:tc>
        <w:tc>
          <w:tcPr>
            <w:tcW w:w="12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证券名称</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最新披露</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首次披露</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参与方角色</w:t>
            </w:r>
          </w:p>
        </w:tc>
        <w:tc>
          <w:tcPr>
            <w:tcW w:w="14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重组进度</w:t>
            </w:r>
          </w:p>
        </w:tc>
        <w:tc>
          <w:tcPr>
            <w:tcW w:w="182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重组事件</w:t>
            </w:r>
          </w:p>
        </w:tc>
      </w:tr>
      <w:tr>
        <w:tblPrEx>
          <w:tblCellMar>
            <w:top w:w="0" w:type="dxa"/>
            <w:left w:w="108" w:type="dxa"/>
            <w:bottom w:w="0" w:type="dxa"/>
            <w:right w:w="108" w:type="dxa"/>
          </w:tblCellMar>
        </w:tblPrEx>
        <w:trPr>
          <w:trHeight w:val="27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2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2023-10-28</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2023-05-23</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竞买方</w:t>
            </w:r>
          </w:p>
        </w:tc>
        <w:tc>
          <w:tcPr>
            <w:tcW w:w="14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发审委通过</w:t>
            </w:r>
          </w:p>
        </w:tc>
        <w:tc>
          <w:tcPr>
            <w:tcW w:w="182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森霸传感收购格林通67%股权。</w:t>
            </w:r>
          </w:p>
        </w:tc>
      </w:tr>
    </w:tbl>
    <w:p>
      <w:pPr>
        <w:spacing w:before="156" w:beforeLines="50" w:after="120"/>
        <w:ind w:firstLine="562" w:firstLineChars="200"/>
        <w:rPr>
          <w:rFonts w:ascii="仿宋" w:hAnsi="仿宋" w:eastAsia="仿宋"/>
          <w:b/>
          <w:sz w:val="28"/>
          <w:szCs w:val="30"/>
        </w:rPr>
      </w:pPr>
      <w:r>
        <w:rPr>
          <w:rFonts w:ascii="仿宋" w:hAnsi="仿宋" w:eastAsia="仿宋"/>
          <w:b/>
          <w:sz w:val="28"/>
          <w:szCs w:val="30"/>
        </w:rPr>
        <w:t>3.业绩与分红</w:t>
      </w:r>
    </w:p>
    <w:p>
      <w:pPr>
        <w:spacing w:before="312" w:beforeLines="100" w:after="156" w:afterLines="50"/>
        <w:ind w:firstLine="560" w:firstLineChars="200"/>
        <w:rPr>
          <w:rFonts w:hint="eastAsia" w:ascii="仿宋" w:hAnsi="仿宋" w:eastAsia="仿宋"/>
          <w:sz w:val="28"/>
        </w:rPr>
      </w:pPr>
      <w:r>
        <w:rPr>
          <w:rFonts w:ascii="仿宋" w:hAnsi="仿宋" w:eastAsia="仿宋"/>
          <w:sz w:val="28"/>
        </w:rPr>
        <w:t>本月辖区内披露业绩预告/快报</w:t>
      </w:r>
      <w:r>
        <w:rPr>
          <w:rFonts w:hint="eastAsia" w:ascii="仿宋" w:hAnsi="仿宋" w:eastAsia="仿宋"/>
          <w:sz w:val="28"/>
        </w:rPr>
        <w:t>的上市公司共8</w:t>
      </w:r>
      <w:r>
        <w:rPr>
          <w:rFonts w:ascii="仿宋" w:hAnsi="仿宋" w:eastAsia="仿宋"/>
          <w:sz w:val="28"/>
        </w:rPr>
        <w:t>家，其中，</w:t>
      </w:r>
      <w:r>
        <w:rPr>
          <w:rFonts w:hint="eastAsia" w:ascii="仿宋" w:hAnsi="仿宋" w:eastAsia="仿宋"/>
          <w:sz w:val="28"/>
        </w:rPr>
        <w:t>8家上市公司披露业绩预告：8家业绩预盈。</w:t>
      </w:r>
    </w:p>
    <w:p>
      <w:pPr>
        <w:spacing w:before="156" w:beforeLines="50" w:after="156" w:afterLines="50"/>
        <w:jc w:val="center"/>
        <w:rPr>
          <w:rFonts w:ascii="仿宋" w:hAnsi="仿宋" w:eastAsia="仿宋"/>
          <w:b/>
          <w:sz w:val="24"/>
        </w:rPr>
      </w:pPr>
      <w:r>
        <w:rPr>
          <w:rFonts w:ascii="仿宋" w:hAnsi="仿宋" w:eastAsia="仿宋"/>
          <w:b/>
          <w:sz w:val="24"/>
        </w:rPr>
        <w:t>表6　分红送转事项</w:t>
      </w:r>
    </w:p>
    <w:tbl>
      <w:tblPr>
        <w:tblStyle w:val="9"/>
        <w:tblW w:w="8572" w:type="dxa"/>
        <w:jc w:val="center"/>
        <w:tblLayout w:type="fixed"/>
        <w:tblCellMar>
          <w:top w:w="0" w:type="dxa"/>
          <w:left w:w="108" w:type="dxa"/>
          <w:bottom w:w="0" w:type="dxa"/>
          <w:right w:w="108" w:type="dxa"/>
        </w:tblCellMar>
      </w:tblPr>
      <w:tblGrid>
        <w:gridCol w:w="710"/>
        <w:gridCol w:w="1275"/>
        <w:gridCol w:w="1208"/>
        <w:gridCol w:w="1290"/>
        <w:gridCol w:w="4089"/>
      </w:tblGrid>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12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披露日期</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证券代码</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证券名称</w:t>
            </w:r>
          </w:p>
        </w:tc>
        <w:tc>
          <w:tcPr>
            <w:tcW w:w="4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ascii="仿宋" w:hAnsi="仿宋" w:eastAsia="仿宋" w:cs="宋体"/>
                <w:b/>
                <w:color w:val="000000"/>
                <w:kern w:val="0"/>
                <w:szCs w:val="21"/>
              </w:rPr>
              <w:t>方案说明</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2023-10-14</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002601.SZ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龙佰集团</w:t>
            </w:r>
          </w:p>
        </w:tc>
        <w:tc>
          <w:tcPr>
            <w:tcW w:w="408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2023年三季报分红预案：10派3元。</w:t>
            </w:r>
          </w:p>
        </w:tc>
      </w:tr>
    </w:tbl>
    <w:p>
      <w:pPr>
        <w:spacing w:before="156" w:beforeLines="50" w:after="156" w:afterLines="50"/>
        <w:jc w:val="center"/>
        <w:rPr>
          <w:rFonts w:ascii="仿宋" w:hAnsi="仿宋" w:eastAsia="仿宋"/>
          <w:b/>
          <w:sz w:val="24"/>
        </w:rPr>
      </w:pPr>
      <w:r>
        <w:rPr>
          <w:rFonts w:ascii="仿宋" w:hAnsi="仿宋" w:eastAsia="仿宋"/>
          <w:b/>
          <w:sz w:val="24"/>
        </w:rPr>
        <w:t>表7　业绩预告/快报事项</w:t>
      </w:r>
    </w:p>
    <w:tbl>
      <w:tblPr>
        <w:tblStyle w:val="10"/>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1134"/>
        <w:gridCol w:w="1276"/>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center"/>
              <w:rPr>
                <w:rFonts w:ascii="仿宋" w:hAnsi="仿宋" w:eastAsia="仿宋"/>
                <w:kern w:val="0"/>
                <w:szCs w:val="21"/>
              </w:rPr>
            </w:pPr>
            <w:r>
              <w:rPr>
                <w:rFonts w:hint="eastAsia" w:ascii="仿宋" w:hAnsi="仿宋" w:eastAsia="仿宋" w:cs="宋体"/>
                <w:b/>
                <w:color w:val="000000"/>
                <w:kern w:val="0"/>
                <w:szCs w:val="21"/>
              </w:rPr>
              <w:t>序号</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披露日期</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证券代码</w:t>
            </w:r>
          </w:p>
        </w:tc>
        <w:tc>
          <w:tcPr>
            <w:tcW w:w="1134"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证券名称</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事件类型</w:t>
            </w:r>
          </w:p>
        </w:tc>
        <w:tc>
          <w:tcPr>
            <w:tcW w:w="4990"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2023-10-14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300480.SZ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光力科技</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4990"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第1次2023年三季报业绩预告，公司业绩：略增。 预测业绩：净利润约7,055.28万元~8,338.06万元。较去年同期净利润6,413.89万元，变化约为10.00%~30.00%。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2023-10-14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838402.BJ</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硅烷科技</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4990"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第1次2023年三季报业绩预告，公司业绩：预增。 预测业绩：净利润约21,400.00万元~23,400.00万元。较去年同期净利润14,691.96万元，变化约为45.66%~59.27%。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2023-10-13</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000933.SZ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神火股份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4990"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第1次2023年三季报业绩预告，公司业绩：略减。 预测业绩：净利润约406,000.00万元~406,000.00万元。较去年同期净利润585,618.01万元，变化约为-30.67%~-30.67%。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2023-10-13</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002535.SZ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林州重机</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4990"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第1次2023年三季报业绩预告，公司业绩：预增。 预测业绩：净利润约8,100.00万元~12,000.00万元。较去年同期净利润937.64万元，变化约为763.87%~1,179.81%。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2023-10-12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600312.SH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平高电气</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4990"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第1次2023年三季报业绩预告，公司业绩：预增。 预测业绩：净利润约55,243.00万元~55,243.00万元。较去年同期净利润17,833.00万元，变化约为210.00%~210.00%。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2023-10-10</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002536.SZ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飞龙股份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4990"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第1次2023年三季报业绩预告，公司业绩：预增。 预测业绩：净利润约20,500.00万元~23,000.00万元。较去年同期净利润5,810.37万元，变化约为252.82%~295.84%。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7</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2023-10-10</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301207.SZ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华兰疫苗</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4990"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第1次2023年三季报业绩预告，公司业绩：略增。 预测业绩：净利润约61,000.00万元~66,000.00万元。较去年同期净利润50,470.80万元，变化约为20.86%~30.77%。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8</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2023-10-10</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301376.SZ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致欧科技</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4990"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第1次2023年三季报业绩预告，公司业绩：预增。 预测业绩：净利润约28,000.00万元~30,000.00万元。较去年同期净利润17,137.62万元，变化约为63.38%~75.05%。</w:t>
            </w:r>
          </w:p>
        </w:tc>
      </w:tr>
    </w:tbl>
    <w:p>
      <w:pPr>
        <w:spacing w:after="120"/>
        <w:ind w:firstLine="562" w:firstLineChars="200"/>
        <w:rPr>
          <w:rFonts w:ascii="仿宋" w:hAnsi="仿宋" w:eastAsia="仿宋"/>
          <w:b/>
          <w:sz w:val="28"/>
          <w:szCs w:val="28"/>
        </w:rPr>
      </w:pPr>
      <w:r>
        <w:rPr>
          <w:rFonts w:ascii="仿宋" w:hAnsi="仿宋" w:eastAsia="仿宋"/>
          <w:b/>
          <w:sz w:val="28"/>
          <w:szCs w:val="28"/>
        </w:rPr>
        <w:t>4.增持与减持</w:t>
      </w:r>
    </w:p>
    <w:p>
      <w:pPr>
        <w:spacing w:before="156" w:beforeLines="50" w:after="156" w:afterLines="50"/>
        <w:ind w:firstLine="481" w:firstLineChars="200"/>
        <w:jc w:val="center"/>
        <w:rPr>
          <w:rFonts w:ascii="仿宋" w:hAnsi="仿宋" w:eastAsia="仿宋"/>
          <w:b/>
          <w:sz w:val="24"/>
          <w:szCs w:val="30"/>
        </w:rPr>
      </w:pPr>
      <w:r>
        <w:rPr>
          <w:rFonts w:ascii="仿宋" w:hAnsi="仿宋" w:eastAsia="仿宋"/>
          <w:b/>
          <w:sz w:val="24"/>
          <w:szCs w:val="30"/>
        </w:rPr>
        <w:t>表8　股东增/减持公司股票事项</w:t>
      </w:r>
    </w:p>
    <w:tbl>
      <w:tblPr>
        <w:tblStyle w:val="9"/>
        <w:tblW w:w="11240" w:type="dxa"/>
        <w:jc w:val="center"/>
        <w:tblLayout w:type="fixed"/>
        <w:tblCellMar>
          <w:top w:w="0" w:type="dxa"/>
          <w:left w:w="108" w:type="dxa"/>
          <w:bottom w:w="0" w:type="dxa"/>
          <w:right w:w="108" w:type="dxa"/>
        </w:tblCellMar>
      </w:tblPr>
      <w:tblGrid>
        <w:gridCol w:w="796"/>
        <w:gridCol w:w="1266"/>
        <w:gridCol w:w="1281"/>
        <w:gridCol w:w="1134"/>
        <w:gridCol w:w="1559"/>
        <w:gridCol w:w="5204"/>
      </w:tblGrid>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发生日期</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52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2023-09-28</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832175.BJ</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东方碳素</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520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2023-07-18至2023-09-28，杨遂运增持8万股公司股份，平均增持价格为8.28CNY。截止2023-10-10，持有股份数量为8万股，占流通股份总数比例为0.14%。</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2023-10-19</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688119.SH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中钢洛耐</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520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2023-07-28至2023-10-19，北京建祥龙科技发展有限公司减持1125万股公司股份，平均减持价格为5.1388CNY。截止2023-10-21，持有股份数量为4176万股，占流通股份总数比例为7.42%。 2023-07-17至2023-10-19，国新双百壹号(杭州)股权投资合伙企业(有限合伙)减持1127.98万股公司股份，平均减持价格为5.1388CNY。截止2023-10-21，持有股份数量为1.21亿股流通股份，占流通股份总数比例为21.55%。</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2023-09-28</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520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2023-05-04至2023-09-28，SHENGLIN HOLDING CO.LTD.减持86.73万股公司股份。截止2023-10-09，持有股份数量为1729.74万股，占流通股份总数比例为22.08%。</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2023-08-31</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520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2023-06-01至2023-08-31，路可可作企业有限公司减持45.86万股公司股份，平均减持价格为66.38CNY。截止2023-10-09，持有股份数量为540.92万股，占流通股份总数比例为6.9%。</w:t>
            </w:r>
          </w:p>
        </w:tc>
      </w:tr>
    </w:tbl>
    <w:p>
      <w:pPr>
        <w:spacing w:after="156" w:afterLines="50"/>
        <w:ind w:firstLine="562" w:firstLineChars="200"/>
        <w:rPr>
          <w:rFonts w:ascii="仿宋" w:hAnsi="仿宋" w:eastAsia="仿宋"/>
          <w:b/>
          <w:sz w:val="28"/>
          <w:szCs w:val="28"/>
        </w:rPr>
      </w:pPr>
      <w:r>
        <w:rPr>
          <w:rFonts w:ascii="仿宋" w:hAnsi="仿宋" w:eastAsia="仿宋"/>
          <w:b/>
          <w:sz w:val="28"/>
          <w:szCs w:val="28"/>
        </w:rPr>
        <w:t>5.其他重大事项</w:t>
      </w:r>
    </w:p>
    <w:p>
      <w:pPr>
        <w:spacing w:before="156" w:beforeLines="50" w:after="156" w:afterLines="50"/>
        <w:jc w:val="center"/>
        <w:rPr>
          <w:rFonts w:ascii="仿宋" w:hAnsi="仿宋" w:eastAsia="仿宋"/>
          <w:b/>
          <w:sz w:val="24"/>
          <w:szCs w:val="30"/>
        </w:rPr>
      </w:pPr>
      <w:r>
        <w:rPr>
          <w:rFonts w:ascii="仿宋" w:hAnsi="仿宋" w:eastAsia="仿宋"/>
          <w:b/>
          <w:sz w:val="24"/>
          <w:szCs w:val="30"/>
        </w:rPr>
        <w:t>表9　10月董事长、董秘变动情况</w:t>
      </w:r>
    </w:p>
    <w:tbl>
      <w:tblPr>
        <w:tblStyle w:val="10"/>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276"/>
        <w:gridCol w:w="1134"/>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Pr>
          <w:p>
            <w:pPr>
              <w:jc w:val="center"/>
              <w:rPr>
                <w:rFonts w:ascii="仿宋" w:hAnsi="仿宋" w:eastAsia="仿宋"/>
                <w:b/>
                <w:szCs w:val="21"/>
              </w:rPr>
            </w:pPr>
            <w:r>
              <w:rPr>
                <w:rFonts w:hint="eastAsia" w:ascii="仿宋" w:hAnsi="仿宋" w:eastAsia="仿宋"/>
                <w:b/>
                <w:szCs w:val="21"/>
              </w:rPr>
              <w:t>序号</w:t>
            </w:r>
          </w:p>
        </w:tc>
        <w:tc>
          <w:tcPr>
            <w:tcW w:w="1701" w:type="dxa"/>
          </w:tcPr>
          <w:p>
            <w:pPr>
              <w:jc w:val="center"/>
              <w:rPr>
                <w:rFonts w:ascii="仿宋" w:hAnsi="仿宋" w:eastAsia="仿宋"/>
                <w:b/>
                <w:szCs w:val="21"/>
              </w:rPr>
            </w:pPr>
            <w:r>
              <w:rPr>
                <w:rFonts w:hint="eastAsia" w:ascii="仿宋" w:hAnsi="仿宋" w:eastAsia="仿宋"/>
                <w:b/>
                <w:szCs w:val="21"/>
              </w:rPr>
              <w:t>披露日期</w:t>
            </w:r>
          </w:p>
        </w:tc>
        <w:tc>
          <w:tcPr>
            <w:tcW w:w="1276" w:type="dxa"/>
          </w:tcPr>
          <w:p>
            <w:pPr>
              <w:jc w:val="center"/>
              <w:rPr>
                <w:rFonts w:ascii="仿宋" w:hAnsi="仿宋" w:eastAsia="仿宋"/>
                <w:b/>
                <w:szCs w:val="21"/>
              </w:rPr>
            </w:pPr>
            <w:r>
              <w:rPr>
                <w:rFonts w:hint="eastAsia" w:ascii="仿宋" w:hAnsi="仿宋" w:eastAsia="仿宋"/>
                <w:b/>
                <w:szCs w:val="21"/>
              </w:rPr>
              <w:t>证券代码</w:t>
            </w:r>
          </w:p>
        </w:tc>
        <w:tc>
          <w:tcPr>
            <w:tcW w:w="1134" w:type="dxa"/>
          </w:tcPr>
          <w:p>
            <w:pPr>
              <w:jc w:val="center"/>
              <w:rPr>
                <w:rFonts w:ascii="仿宋" w:hAnsi="仿宋" w:eastAsia="仿宋"/>
                <w:b/>
                <w:szCs w:val="21"/>
              </w:rPr>
            </w:pPr>
            <w:r>
              <w:rPr>
                <w:rFonts w:hint="eastAsia" w:ascii="仿宋" w:hAnsi="仿宋" w:eastAsia="仿宋"/>
                <w:b/>
                <w:szCs w:val="21"/>
              </w:rPr>
              <w:t>证券名称</w:t>
            </w:r>
          </w:p>
        </w:tc>
        <w:tc>
          <w:tcPr>
            <w:tcW w:w="3723" w:type="dxa"/>
          </w:tcPr>
          <w:p>
            <w:pPr>
              <w:jc w:val="center"/>
              <w:rPr>
                <w:rFonts w:ascii="仿宋" w:hAnsi="仿宋" w:eastAsia="仿宋"/>
                <w:b/>
                <w:szCs w:val="21"/>
              </w:rPr>
            </w:pPr>
            <w:r>
              <w:rPr>
                <w:rFonts w:hint="eastAsia" w:ascii="仿宋" w:hAnsi="仿宋" w:eastAsia="仿宋"/>
                <w:b/>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1</w:t>
            </w:r>
          </w:p>
        </w:tc>
        <w:tc>
          <w:tcPr>
            <w:tcW w:w="1701" w:type="dxa"/>
            <w:vAlign w:val="center"/>
          </w:tcPr>
          <w:p>
            <w:pPr>
              <w:jc w:val="center"/>
              <w:rPr>
                <w:rFonts w:ascii="仿宋" w:hAnsi="仿宋" w:eastAsia="仿宋"/>
                <w:szCs w:val="21"/>
              </w:rPr>
            </w:pPr>
            <w:r>
              <w:rPr>
                <w:rFonts w:hint="eastAsia" w:ascii="仿宋" w:hAnsi="仿宋" w:eastAsia="仿宋"/>
                <w:szCs w:val="21"/>
              </w:rPr>
              <w:t>2023-10-13</w:t>
            </w:r>
          </w:p>
        </w:tc>
        <w:tc>
          <w:tcPr>
            <w:tcW w:w="1276" w:type="dxa"/>
            <w:vAlign w:val="center"/>
          </w:tcPr>
          <w:p>
            <w:pPr>
              <w:jc w:val="center"/>
              <w:rPr>
                <w:rFonts w:ascii="仿宋" w:hAnsi="仿宋" w:eastAsia="仿宋"/>
                <w:szCs w:val="21"/>
              </w:rPr>
            </w:pPr>
            <w:r>
              <w:rPr>
                <w:rFonts w:hint="eastAsia" w:ascii="仿宋" w:hAnsi="仿宋" w:eastAsia="仿宋"/>
                <w:szCs w:val="21"/>
              </w:rPr>
              <w:t>301277.SZ</w:t>
            </w:r>
          </w:p>
        </w:tc>
        <w:tc>
          <w:tcPr>
            <w:tcW w:w="1134" w:type="dxa"/>
            <w:vAlign w:val="center"/>
          </w:tcPr>
          <w:p>
            <w:pPr>
              <w:jc w:val="center"/>
              <w:rPr>
                <w:rFonts w:ascii="仿宋" w:hAnsi="仿宋" w:eastAsia="仿宋"/>
                <w:szCs w:val="21"/>
              </w:rPr>
            </w:pPr>
            <w:r>
              <w:rPr>
                <w:rFonts w:hint="eastAsia" w:ascii="仿宋" w:hAnsi="仿宋" w:eastAsia="仿宋"/>
                <w:szCs w:val="21"/>
              </w:rPr>
              <w:t>新天地</w:t>
            </w:r>
          </w:p>
        </w:tc>
        <w:tc>
          <w:tcPr>
            <w:tcW w:w="3723" w:type="dxa"/>
            <w:vAlign w:val="center"/>
          </w:tcPr>
          <w:p>
            <w:pPr>
              <w:jc w:val="center"/>
              <w:rPr>
                <w:rFonts w:ascii="仿宋" w:hAnsi="仿宋" w:eastAsia="仿宋"/>
                <w:szCs w:val="21"/>
              </w:rPr>
            </w:pPr>
            <w:r>
              <w:rPr>
                <w:rFonts w:hint="eastAsia" w:ascii="仿宋" w:hAnsi="仿宋" w:eastAsia="仿宋"/>
                <w:szCs w:val="21"/>
              </w:rPr>
              <w:t>新聘董事会秘书吴彦资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2023-10-13</w:t>
            </w:r>
          </w:p>
        </w:tc>
        <w:tc>
          <w:tcPr>
            <w:tcW w:w="1276" w:type="dxa"/>
            <w:vAlign w:val="center"/>
          </w:tcPr>
          <w:p>
            <w:pPr>
              <w:jc w:val="center"/>
              <w:rPr>
                <w:rFonts w:ascii="仿宋" w:hAnsi="仿宋" w:eastAsia="仿宋"/>
                <w:szCs w:val="21"/>
              </w:rPr>
            </w:pPr>
            <w:r>
              <w:rPr>
                <w:rFonts w:hint="eastAsia" w:ascii="仿宋" w:hAnsi="仿宋" w:eastAsia="仿宋"/>
                <w:szCs w:val="21"/>
              </w:rPr>
              <w:t>301277.SZ</w:t>
            </w:r>
          </w:p>
        </w:tc>
        <w:tc>
          <w:tcPr>
            <w:tcW w:w="1134" w:type="dxa"/>
            <w:vAlign w:val="center"/>
          </w:tcPr>
          <w:p>
            <w:pPr>
              <w:jc w:val="center"/>
              <w:rPr>
                <w:rFonts w:ascii="仿宋" w:hAnsi="仿宋" w:eastAsia="仿宋"/>
                <w:szCs w:val="21"/>
              </w:rPr>
            </w:pPr>
            <w:r>
              <w:rPr>
                <w:rFonts w:hint="eastAsia" w:ascii="仿宋" w:hAnsi="仿宋" w:eastAsia="仿宋"/>
                <w:szCs w:val="21"/>
              </w:rPr>
              <w:t>新天地</w:t>
            </w:r>
          </w:p>
        </w:tc>
        <w:tc>
          <w:tcPr>
            <w:tcW w:w="3723" w:type="dxa"/>
            <w:vAlign w:val="center"/>
          </w:tcPr>
          <w:p>
            <w:pPr>
              <w:jc w:val="center"/>
              <w:rPr>
                <w:rFonts w:ascii="仿宋" w:hAnsi="仿宋" w:eastAsia="仿宋"/>
                <w:szCs w:val="21"/>
              </w:rPr>
            </w:pPr>
            <w:r>
              <w:rPr>
                <w:rFonts w:hint="eastAsia" w:ascii="仿宋" w:hAnsi="仿宋" w:eastAsia="仿宋"/>
                <w:szCs w:val="21"/>
              </w:rPr>
              <w:t>代董事会秘书张芦苇离任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2</w:t>
            </w:r>
          </w:p>
        </w:tc>
        <w:tc>
          <w:tcPr>
            <w:tcW w:w="1701" w:type="dxa"/>
            <w:vAlign w:val="center"/>
          </w:tcPr>
          <w:p>
            <w:pPr>
              <w:jc w:val="center"/>
              <w:rPr>
                <w:rFonts w:ascii="仿宋" w:hAnsi="仿宋" w:eastAsia="仿宋"/>
                <w:szCs w:val="21"/>
              </w:rPr>
            </w:pPr>
            <w:r>
              <w:rPr>
                <w:rFonts w:hint="eastAsia" w:ascii="仿宋" w:hAnsi="仿宋" w:eastAsia="仿宋"/>
                <w:szCs w:val="21"/>
              </w:rPr>
              <w:t>2023-10-12</w:t>
            </w:r>
          </w:p>
        </w:tc>
        <w:tc>
          <w:tcPr>
            <w:tcW w:w="1276" w:type="dxa"/>
            <w:vAlign w:val="center"/>
          </w:tcPr>
          <w:p>
            <w:pPr>
              <w:jc w:val="center"/>
              <w:rPr>
                <w:rFonts w:ascii="仿宋" w:hAnsi="仿宋" w:eastAsia="仿宋"/>
                <w:szCs w:val="21"/>
              </w:rPr>
            </w:pPr>
            <w:r>
              <w:rPr>
                <w:rFonts w:hint="eastAsia" w:ascii="仿宋" w:hAnsi="仿宋" w:eastAsia="仿宋"/>
                <w:szCs w:val="21"/>
              </w:rPr>
              <w:t>600810.SH</w:t>
            </w:r>
          </w:p>
        </w:tc>
        <w:tc>
          <w:tcPr>
            <w:tcW w:w="1134" w:type="dxa"/>
            <w:vAlign w:val="center"/>
          </w:tcPr>
          <w:p>
            <w:pPr>
              <w:jc w:val="center"/>
              <w:rPr>
                <w:rFonts w:ascii="仿宋" w:hAnsi="仿宋" w:eastAsia="仿宋"/>
                <w:szCs w:val="21"/>
              </w:rPr>
            </w:pPr>
            <w:r>
              <w:rPr>
                <w:rFonts w:hint="eastAsia" w:ascii="仿宋" w:hAnsi="仿宋" w:eastAsia="仿宋"/>
                <w:szCs w:val="21"/>
              </w:rPr>
              <w:t>神马股份</w:t>
            </w:r>
          </w:p>
        </w:tc>
        <w:tc>
          <w:tcPr>
            <w:tcW w:w="3723" w:type="dxa"/>
            <w:vAlign w:val="center"/>
          </w:tcPr>
          <w:p>
            <w:pPr>
              <w:jc w:val="center"/>
              <w:rPr>
                <w:rFonts w:ascii="仿宋" w:hAnsi="仿宋" w:eastAsia="仿宋"/>
                <w:szCs w:val="21"/>
              </w:rPr>
            </w:pPr>
            <w:r>
              <w:rPr>
                <w:rFonts w:hint="eastAsia" w:ascii="仿宋" w:hAnsi="仿宋" w:eastAsia="仿宋"/>
                <w:szCs w:val="21"/>
              </w:rPr>
              <w:t>新聘董事会秘书李伟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2023-10-12</w:t>
            </w:r>
          </w:p>
        </w:tc>
        <w:tc>
          <w:tcPr>
            <w:tcW w:w="1276" w:type="dxa"/>
            <w:vAlign w:val="center"/>
          </w:tcPr>
          <w:p>
            <w:pPr>
              <w:jc w:val="center"/>
              <w:rPr>
                <w:rFonts w:ascii="仿宋" w:hAnsi="仿宋" w:eastAsia="仿宋"/>
                <w:szCs w:val="21"/>
              </w:rPr>
            </w:pPr>
            <w:r>
              <w:rPr>
                <w:rFonts w:hint="eastAsia" w:ascii="仿宋" w:hAnsi="仿宋" w:eastAsia="仿宋"/>
                <w:szCs w:val="21"/>
              </w:rPr>
              <w:t>600810.SH</w:t>
            </w:r>
          </w:p>
        </w:tc>
        <w:tc>
          <w:tcPr>
            <w:tcW w:w="1134" w:type="dxa"/>
            <w:vAlign w:val="center"/>
          </w:tcPr>
          <w:p>
            <w:pPr>
              <w:jc w:val="center"/>
              <w:rPr>
                <w:rFonts w:ascii="仿宋" w:hAnsi="仿宋" w:eastAsia="仿宋"/>
                <w:szCs w:val="21"/>
              </w:rPr>
            </w:pPr>
            <w:r>
              <w:rPr>
                <w:rFonts w:hint="eastAsia" w:ascii="仿宋" w:hAnsi="仿宋" w:eastAsia="仿宋"/>
                <w:szCs w:val="21"/>
              </w:rPr>
              <w:t>神马股份</w:t>
            </w:r>
          </w:p>
        </w:tc>
        <w:tc>
          <w:tcPr>
            <w:tcW w:w="3723" w:type="dxa"/>
            <w:vAlign w:val="center"/>
          </w:tcPr>
          <w:p>
            <w:pPr>
              <w:jc w:val="center"/>
              <w:rPr>
                <w:rFonts w:ascii="仿宋" w:hAnsi="仿宋" w:eastAsia="仿宋"/>
                <w:szCs w:val="21"/>
              </w:rPr>
            </w:pPr>
            <w:r>
              <w:rPr>
                <w:rFonts w:hint="eastAsia" w:ascii="仿宋" w:hAnsi="仿宋" w:eastAsia="仿宋"/>
                <w:szCs w:val="21"/>
              </w:rPr>
              <w:t>代董事会秘书李伟离任</w:t>
            </w:r>
          </w:p>
        </w:tc>
      </w:tr>
    </w:tbl>
    <w:p>
      <w:pPr>
        <w:spacing w:before="156" w:beforeLines="50" w:after="156" w:afterLines="50"/>
        <w:jc w:val="center"/>
        <w:rPr>
          <w:rFonts w:ascii="仿宋" w:hAnsi="仿宋" w:eastAsia="仿宋"/>
          <w:b/>
          <w:sz w:val="24"/>
          <w:szCs w:val="30"/>
        </w:rPr>
      </w:pPr>
      <w:r>
        <w:rPr>
          <w:rFonts w:hint="eastAsia" w:ascii="仿宋" w:hAnsi="仿宋" w:eastAsia="仿宋"/>
          <w:b/>
          <w:sz w:val="24"/>
          <w:szCs w:val="30"/>
        </w:rPr>
        <w:t>表10　重大项目情况表</w:t>
      </w:r>
    </w:p>
    <w:tbl>
      <w:tblPr>
        <w:tblStyle w:val="9"/>
        <w:tblW w:w="10768" w:type="dxa"/>
        <w:jc w:val="center"/>
        <w:tblLayout w:type="fixed"/>
        <w:tblCellMar>
          <w:top w:w="0" w:type="dxa"/>
          <w:left w:w="108" w:type="dxa"/>
          <w:bottom w:w="0" w:type="dxa"/>
          <w:right w:w="108" w:type="dxa"/>
        </w:tblCellMar>
      </w:tblPr>
      <w:tblGrid>
        <w:gridCol w:w="709"/>
        <w:gridCol w:w="1163"/>
        <w:gridCol w:w="1134"/>
        <w:gridCol w:w="1134"/>
        <w:gridCol w:w="1418"/>
        <w:gridCol w:w="5210"/>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52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2023-10-31</w:t>
            </w:r>
          </w:p>
        </w:tc>
        <w:tc>
          <w:tcPr>
            <w:tcW w:w="521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近日,国网山东省电力公司 2023 年第二次配网物资协议库存招标采购项目中标候选人公示,金冠电气股份有限公司(以下简称“公司”)中标一二次融合成套柱上断路器、一二次融合环网箱-标准化-环保气体产品共 2 个标包,合计中标金额 2,541 万元。本公司所披露的中标项目仅为中标金额 2,000 万元(含)以上项目。</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000885.SZ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城发环境</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签订重大合同</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2023-10-30</w:t>
            </w:r>
          </w:p>
        </w:tc>
        <w:tc>
          <w:tcPr>
            <w:tcW w:w="521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城发环境股份有限公司全资子公司河南沃克曼建设工程有限公司通过公开招标确定了河南豫能控股股份有限公司控股子公司河南豫煤数字港科技有限公司为郑州市上街区第三污水处理厂项目钢筋采购项目的中标人，现沃克曼与豫煤数字港拟签订《郑州市上街区第三污水处理厂项目钢筋采购合同》，合同暂估总金额：含税价人民币987.5072万元。</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000885.SZ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城发环境</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2023-10-21</w:t>
            </w:r>
          </w:p>
        </w:tc>
        <w:tc>
          <w:tcPr>
            <w:tcW w:w="521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全资子公司沃克曼与北方建筑组成的联合体，中标了“哈尔滨群勤环保科技有限公司哈尔滨既有厂房改造项目EPC工程总承包”项目，现沃克曼与北方建筑拟同群勤签署哈尔滨群勤既有厂房改造项目EPC工程总承包合同，合同总金额：含税价￥9,348,853.17元。</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600312.SH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平高电气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2023-10-10</w:t>
            </w:r>
          </w:p>
        </w:tc>
        <w:tc>
          <w:tcPr>
            <w:tcW w:w="521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日前,国家电网有限公司电子商务平台(http://ecp.sgcc.com.cn)发布了“国家电网有限公司 2023 年第六十八批采购(特高压项目第五次设备招标采购)中标公告”“国家电网有限公司 2023 年第六十四批采购(输变电项目第四次变电设备单一来源采购)成交公告”“国家电网有限公司 2023 年第八十四批采购(输变电项目第五次变电设备单一来源采购)成交公告”。河南平高电气股份有限公司(以下简称“公司”)及子公司、合营公司为相关项目中标单位,中标金额合计约为 6.50亿元,占 2022 年营业收入的 7.01%。</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2023-10-10</w:t>
            </w:r>
          </w:p>
        </w:tc>
        <w:tc>
          <w:tcPr>
            <w:tcW w:w="521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近日,国家电网有限公司电子商务平台发布国家电网有限公司 2023 年第六十八批采购(特高压项目第五次设备招标采购)推荐的中标候选人公示,金冠电气股份有限公司(以下简称“公司”)中标避雷器产品共 3 个标包,合计中标4,421.60 万元。本公司所披露的中标项目仅为中标金额 2,000 万元(含)以上项目。</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002431.SZ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棕榈股份</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2023-10-09</w:t>
            </w:r>
          </w:p>
        </w:tc>
        <w:tc>
          <w:tcPr>
            <w:tcW w:w="521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棕榈生态城镇发展股份有限公司(以下简称“公司”)于今日收到“清丰县2023年高标准农田建设项目(EPC+O模式)第一标段”的《中标通知书》,确认公司与“中国农业科学院农田灌溉研究所”及“河南省豫资农业服务有限公司”所组成的联合体为清丰县2023年高标准农田建设项目第一标段的中标单位。</w:t>
            </w:r>
          </w:p>
        </w:tc>
      </w:tr>
    </w:tbl>
    <w:p>
      <w:pPr>
        <w:spacing w:before="156" w:beforeLines="50" w:after="156" w:afterLines="50"/>
        <w:rPr>
          <w:rFonts w:ascii="楷体" w:hAnsi="楷体" w:eastAsia="楷体" w:cs="Calibri"/>
          <w:b/>
          <w:sz w:val="28"/>
        </w:rPr>
      </w:pPr>
      <w:r>
        <w:rPr>
          <w:rFonts w:hint="eastAsia" w:ascii="仿宋" w:hAnsi="仿宋" w:eastAsia="仿宋"/>
          <w:b/>
          <w:sz w:val="28"/>
        </w:rPr>
        <w:t>六、上市公司十月违规案例精选</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1</w:t>
      </w:r>
      <w:r>
        <w:rPr>
          <w:rFonts w:ascii="仿宋" w:hAnsi="仿宋" w:eastAsia="仿宋" w:cs="仿宋"/>
          <w:b/>
          <w:color w:val="000000"/>
          <w:sz w:val="28"/>
          <w:szCs w:val="28"/>
        </w:rPr>
        <w:t>.</w:t>
      </w:r>
      <w:r>
        <w:rPr>
          <w:rFonts w:hint="eastAsia" w:ascii="仿宋" w:hAnsi="仿宋" w:eastAsia="仿宋" w:cs="仿宋"/>
          <w:b/>
          <w:color w:val="000000"/>
          <w:sz w:val="28"/>
          <w:szCs w:val="28"/>
        </w:rPr>
        <w:t>上市公司遭受重大损失应当及时披露！</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上海证监局查明的事实和公司相关公告，沪主板某上市公司的控股子公司SMCO与其参股股东杰卡明发生纠纷。2022年7月，SMCO的低品位高钙铜矿被杰卡明侵占并陆续转移，涉及账面价值1,427万美元。SMCO通过自力救济及司法救济，但尚未取回矿堆控制权，该事项导致公司2022年年度报告确认营业外支出 9,520.93万元，占其上年度经审计归母净利润的128%。公司应当履行临时公告义务，向投资者及时揭示相关风险，但公司直至2023年1月21日才披露关于控股子公司重大事项的提示性公告。</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上海证券交易所认为上市公司的上述行为违反了《证券法》第八十条，</w:t>
      </w:r>
      <w:r>
        <w:rPr>
          <w:rFonts w:hint="eastAsia" w:ascii="仿宋" w:hAnsi="仿宋" w:eastAsia="仿宋" w:cs="仿宋"/>
          <w:color w:val="000000"/>
          <w:sz w:val="28"/>
          <w:szCs w:val="28"/>
          <w:u w:val="single"/>
        </w:rPr>
        <w:t>《上海证券交易所股票上市规则（2022修订）》</w:t>
      </w:r>
      <w:r>
        <w:rPr>
          <w:rFonts w:hint="eastAsia" w:ascii="仿宋" w:hAnsi="仿宋" w:eastAsia="仿宋" w:cs="仿宋"/>
          <w:color w:val="000000"/>
          <w:sz w:val="28"/>
          <w:szCs w:val="28"/>
        </w:rPr>
        <w:t>第2.1.1条、第2.1.7条、第7.7.6条等有关规定，对上市公司及时任董事长兼代董事会秘书、时任财务副总经理等责任人予以通报批评。</w:t>
      </w:r>
    </w:p>
    <w:p>
      <w:pPr>
        <w:spacing w:line="360" w:lineRule="auto"/>
        <w:ind w:firstLine="562" w:firstLineChars="200"/>
        <w:rPr>
          <w:rFonts w:ascii="华文楷体" w:hAnsi="华文楷体" w:eastAsia="华文楷体"/>
          <w:b/>
          <w:bCs/>
          <w:color w:val="000000"/>
          <w:sz w:val="24"/>
          <w:shd w:val="clear" w:color="auto" w:fill="FFFFFF"/>
        </w:rPr>
      </w:pPr>
      <w:r>
        <w:rPr>
          <w:rFonts w:hint="eastAsia" w:ascii="仿宋" w:hAnsi="仿宋" w:eastAsia="仿宋" w:cs="仿宋"/>
          <w:b/>
          <w:color w:val="000000"/>
          <w:sz w:val="28"/>
          <w:szCs w:val="28"/>
        </w:rPr>
        <w:t>【规则摘要】</w:t>
      </w:r>
    </w:p>
    <w:p>
      <w:pPr>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u w:val="single"/>
        </w:rPr>
        <w:t>《上海证券交易所股票上市规则（2023年8月修订）》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7.7.6　上市公司出现下列重大风险情形之一的，应当及时披露相关情况及对公司的影响：</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（一）发生重大亏损或者遭受重大损失；</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7.7.11　本节事项涉及具体金额的，应当参照适用本规则第6.1.2条、第6.1.3条的规定和本所其他规定。</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市公司遭受重大损失，可能对上市公司股价和投资者决策造成重大影响。案例中，上市公司控股子公司大额资产被参股股东侵占并转移，涉及金额及占比较大，对公司造成重大损失，应当按照规定及时履行信息披露义务。</w:t>
      </w:r>
    </w:p>
    <w:p>
      <w:pPr>
        <w:spacing w:line="360" w:lineRule="auto"/>
        <w:ind w:firstLine="562" w:firstLineChars="200"/>
        <w:rPr>
          <w:rFonts w:ascii="仿宋" w:hAnsi="仿宋" w:eastAsia="仿宋" w:cs="仿宋"/>
          <w:b/>
          <w:color w:val="000000"/>
          <w:sz w:val="28"/>
          <w:szCs w:val="28"/>
        </w:rPr>
      </w:pP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w:t>
      </w:r>
      <w:r>
        <w:rPr>
          <w:rFonts w:ascii="仿宋" w:hAnsi="仿宋" w:eastAsia="仿宋" w:cs="仿宋"/>
          <w:b/>
          <w:color w:val="000000"/>
          <w:sz w:val="28"/>
          <w:szCs w:val="28"/>
        </w:rPr>
        <w:t>.</w:t>
      </w:r>
      <w:r>
        <w:rPr>
          <w:rFonts w:hint="eastAsia" w:ascii="仿宋" w:hAnsi="仿宋" w:eastAsia="仿宋" w:cs="仿宋"/>
          <w:b/>
          <w:color w:val="000000"/>
          <w:sz w:val="28"/>
          <w:szCs w:val="28"/>
        </w:rPr>
        <w:t>隐瞒关联交易实质，实控人受监管警示！</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经查明，2023年8月4日，沪主板某上市公司A披露《关于追认关联方并确认关联交易的公告》称，2020年12月21日，公司第二届董事会第二十次会议审议了将全资子公司B公司100%股权转让给C公司的相关事项。经当事人反映及公司自查，公司时任董事、实际控制人洪某之母洪李某实际系该笔交易资金的提供者，因此，追认本次交易为关联交易，洪李某为关联人。本次交易金额2470万元，占公司2019年经审计净资产2.3%，但因洪某、洪李某未告知公司洪李某实系本次交易的对手方，导致公司未按照关联交易履行相关审议披露程序，仅按照一般应当披露的交易进行审议和披露，关联董事未回避表决。</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上海证券交易所认为上市公司的上述行为违反了</w:t>
      </w:r>
      <w:r>
        <w:rPr>
          <w:rFonts w:hint="eastAsia" w:ascii="仿宋" w:hAnsi="仿宋" w:eastAsia="仿宋" w:cs="仿宋"/>
          <w:color w:val="000000"/>
          <w:sz w:val="28"/>
          <w:szCs w:val="28"/>
          <w:u w:val="single"/>
        </w:rPr>
        <w:t>《上海证券交易所股票上市规则（2020 年修订）》</w:t>
      </w:r>
      <w:r>
        <w:rPr>
          <w:rFonts w:hint="eastAsia" w:ascii="仿宋" w:hAnsi="仿宋" w:eastAsia="仿宋" w:cs="仿宋"/>
          <w:color w:val="000000"/>
          <w:sz w:val="28"/>
          <w:szCs w:val="28"/>
        </w:rPr>
        <w:t>第1.4条、第2.1条、第2.3条等有关规定。对时任董事、实际控制人洪某，关联人洪李某予以监管警示。</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u w:val="single"/>
        </w:rPr>
        <w:t>《上海证券交易所股票上市规则（2023年8月修订）》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6.3.2上市公司的关联交易，是指上市公司、控股子公司及控制的其他主体与上市公司关联人之间发生的转移资源或者义务的事项，包括：</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（八）其他通过约定可能引致资源或者义务转移的事项。</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6.3.6除本规则第6.3.11条的规定外，上市公司与关联人发生的交易达到下列标准之一的，应当履行相关决策程序后及时披露：</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（一）与关联自然人发生的交易金额（包括承担的债务和费用）在30万元以上的交易；</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（二）与关联法人（或者其他组织）发生的交易金额（包括承担的债务和费用）在300万元以上，且占上市公司最近一期经审计净资产绝对值0.5%以上的交易。</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上述案例中，股权转让的资金由上市公司的董事、实控人的母亲提供，故该交易实质上构成关联交易。上市公司应当结合交易实质，从股权角度、任职角度等方面审慎判断交易事项是否构成关联交易。</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Arial">
    <w:altName w:val="Nimbus Roman No9 L"/>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华文楷体">
    <w:altName w:val="方正楷体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tabs>
        <w:tab w:val="left" w:pos="810"/>
        <w:tab w:val="clear" w:pos="4153"/>
        <w:tab w:val="clear" w:pos="8306"/>
      </w:tabs>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A456FA"/>
    <w:rsid w:val="00074D92"/>
    <w:rsid w:val="00091ABF"/>
    <w:rsid w:val="000925A6"/>
    <w:rsid w:val="000D2958"/>
    <w:rsid w:val="001201C0"/>
    <w:rsid w:val="00135E58"/>
    <w:rsid w:val="001733F4"/>
    <w:rsid w:val="001F1EDE"/>
    <w:rsid w:val="002071AC"/>
    <w:rsid w:val="002202DE"/>
    <w:rsid w:val="0023716C"/>
    <w:rsid w:val="002836A6"/>
    <w:rsid w:val="002860E7"/>
    <w:rsid w:val="002C52F1"/>
    <w:rsid w:val="002D46AF"/>
    <w:rsid w:val="00300266"/>
    <w:rsid w:val="00502292"/>
    <w:rsid w:val="00553805"/>
    <w:rsid w:val="00567A23"/>
    <w:rsid w:val="00634DD8"/>
    <w:rsid w:val="00662752"/>
    <w:rsid w:val="006A2010"/>
    <w:rsid w:val="006B4BC7"/>
    <w:rsid w:val="006E4910"/>
    <w:rsid w:val="0077380A"/>
    <w:rsid w:val="007A5E44"/>
    <w:rsid w:val="00832BA2"/>
    <w:rsid w:val="008506FF"/>
    <w:rsid w:val="00905FA6"/>
    <w:rsid w:val="009233CE"/>
    <w:rsid w:val="0093672A"/>
    <w:rsid w:val="00947D35"/>
    <w:rsid w:val="00967ED2"/>
    <w:rsid w:val="009B4AF1"/>
    <w:rsid w:val="00A0048E"/>
    <w:rsid w:val="00A2065C"/>
    <w:rsid w:val="00A25C9D"/>
    <w:rsid w:val="00A450DC"/>
    <w:rsid w:val="00AB7415"/>
    <w:rsid w:val="00AE2C15"/>
    <w:rsid w:val="00AF5A65"/>
    <w:rsid w:val="00B12211"/>
    <w:rsid w:val="00B150AF"/>
    <w:rsid w:val="00BF15A3"/>
    <w:rsid w:val="00BF36C0"/>
    <w:rsid w:val="00C063F5"/>
    <w:rsid w:val="00C12FE9"/>
    <w:rsid w:val="00C14AC7"/>
    <w:rsid w:val="00C4787B"/>
    <w:rsid w:val="00C50CF6"/>
    <w:rsid w:val="00D4346F"/>
    <w:rsid w:val="00D803FB"/>
    <w:rsid w:val="00DC7C2E"/>
    <w:rsid w:val="00DD6843"/>
    <w:rsid w:val="00DF64B8"/>
    <w:rsid w:val="00E7735B"/>
    <w:rsid w:val="00F216F4"/>
    <w:rsid w:val="00F94756"/>
    <w:rsid w:val="00FA2724"/>
    <w:rsid w:val="00FE5E55"/>
    <w:rsid w:val="00FF5D07"/>
    <w:rsid w:val="08324530"/>
    <w:rsid w:val="111E6522"/>
    <w:rsid w:val="2DE34E7D"/>
    <w:rsid w:val="30AC56BF"/>
    <w:rsid w:val="383B2000"/>
    <w:rsid w:val="4ABF3832"/>
    <w:rsid w:val="55BF28E5"/>
    <w:rsid w:val="5CA456FA"/>
    <w:rsid w:val="6D535020"/>
    <w:rsid w:val="FFF7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rPr>
      <w:rFonts w:asciiTheme="minorHAnsi" w:hAnsiTheme="minorHAnsi" w:eastAsiaTheme="minorEastAsia" w:cstheme="minorBidi"/>
      <w:szCs w:val="22"/>
    </w:rPr>
  </w:style>
  <w:style w:type="paragraph" w:styleId="4">
    <w:name w:val="Balloon Text"/>
    <w:basedOn w:val="1"/>
    <w:link w:val="16"/>
    <w:unhideWhenUsed/>
    <w:qFormat/>
    <w:uiPriority w:val="99"/>
    <w:rPr>
      <w:rFonts w:asciiTheme="minorHAnsi" w:hAnsiTheme="minorHAnsi" w:eastAsiaTheme="minorEastAsia" w:cstheme="minorBidi"/>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1"/>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批注文字 字符"/>
    <w:basedOn w:val="11"/>
    <w:link w:val="3"/>
    <w:qFormat/>
    <w:uiPriority w:val="99"/>
    <w:rPr>
      <w:rFonts w:asciiTheme="minorHAnsi" w:hAnsiTheme="minorHAnsi" w:eastAsiaTheme="minorEastAsia" w:cstheme="minorBidi"/>
      <w:kern w:val="2"/>
      <w:sz w:val="21"/>
      <w:szCs w:val="22"/>
    </w:rPr>
  </w:style>
  <w:style w:type="character" w:customStyle="1" w:styleId="16">
    <w:name w:val="批注框文本 字符"/>
    <w:basedOn w:val="11"/>
    <w:link w:val="4"/>
    <w:qFormat/>
    <w:uiPriority w:val="99"/>
    <w:rPr>
      <w:rFonts w:asciiTheme="minorHAnsi" w:hAnsiTheme="minorHAnsi" w:eastAsiaTheme="minorEastAsia" w:cstheme="minorBidi"/>
      <w:kern w:val="2"/>
      <w:sz w:val="18"/>
      <w:szCs w:val="18"/>
    </w:rPr>
  </w:style>
  <w:style w:type="character" w:customStyle="1" w:styleId="17">
    <w:name w:val="页眉 字符"/>
    <w:basedOn w:val="11"/>
    <w:link w:val="6"/>
    <w:qFormat/>
    <w:uiPriority w:val="99"/>
    <w:rPr>
      <w:rFonts w:ascii="Calibri" w:hAnsi="Calibri"/>
      <w:kern w:val="2"/>
      <w:sz w:val="18"/>
      <w:szCs w:val="24"/>
    </w:rPr>
  </w:style>
  <w:style w:type="character" w:customStyle="1" w:styleId="18">
    <w:name w:val="页脚 字符"/>
    <w:basedOn w:val="11"/>
    <w:link w:val="5"/>
    <w:qFormat/>
    <w:uiPriority w:val="99"/>
    <w:rPr>
      <w:rFonts w:ascii="Calibri" w:hAnsi="Calibri"/>
      <w:kern w:val="2"/>
      <w:sz w:val="18"/>
      <w:szCs w:val="24"/>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0">
    <w:name w:val="List Paragraph1"/>
    <w:basedOn w:val="1"/>
    <w:qFormat/>
    <w:uiPriority w:val="0"/>
    <w:pPr>
      <w:ind w:firstLine="420" w:firstLineChars="200"/>
    </w:pPr>
    <w:rPr>
      <w:szCs w:val="21"/>
    </w:rPr>
  </w:style>
  <w:style w:type="character" w:customStyle="1" w:styleId="21">
    <w:name w:val="批注主题 字符"/>
    <w:basedOn w:val="15"/>
    <w:link w:val="8"/>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Lenovo\AppData\Roaming\Kingsoft\wps\addons\pool\win-i386\knewfileruby_1.0.0.12\template\wps\0.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6376;&#25104;&#20132;&#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a:noFill/>
              </a:ln>
              <a:effectLst/>
            </c:spPr>
          </c:dPt>
          <c:dPt>
            <c:idx val="1"/>
            <c:bubble3D val="false"/>
            <c:spPr>
              <a:solidFill>
                <a:schemeClr val="accent2"/>
              </a:solidFill>
              <a:ln>
                <a:noFill/>
              </a:ln>
              <a:effectLst/>
            </c:spPr>
          </c:dPt>
          <c:dPt>
            <c:idx val="2"/>
            <c:bubble3D val="false"/>
            <c:spPr>
              <a:solidFill>
                <a:schemeClr val="accent3"/>
              </a:solidFill>
              <a:ln>
                <a:noFill/>
              </a:ln>
              <a:effectLst/>
            </c:spPr>
          </c:dPt>
          <c:dPt>
            <c:idx val="3"/>
            <c:bubble3D val="false"/>
            <c:spPr>
              <a:solidFill>
                <a:schemeClr val="accent4"/>
              </a:solidFill>
              <a:ln>
                <a:noFill/>
              </a:ln>
              <a:effectLst/>
            </c:spPr>
          </c:dPt>
          <c:dPt>
            <c:idx val="4"/>
            <c:bubble3D val="false"/>
            <c:spPr>
              <a:solidFill>
                <a:schemeClr val="accent5"/>
              </a:solidFill>
              <a:ln>
                <a:noFill/>
              </a:ln>
              <a:effectLst/>
            </c:spPr>
          </c:dPt>
          <c:dPt>
            <c:idx val="5"/>
            <c:bubble3D val="false"/>
            <c:spPr>
              <a:solidFill>
                <a:schemeClr val="accent6"/>
              </a:solidFill>
              <a:ln>
                <a:noFill/>
              </a:ln>
              <a:effectLst/>
            </c:spPr>
          </c:dPt>
          <c:dPt>
            <c:idx val="6"/>
            <c:bubble3D val="false"/>
            <c:spPr>
              <a:solidFill>
                <a:schemeClr val="accent1">
                  <a:lumMod val="60000"/>
                </a:schemeClr>
              </a:solidFill>
              <a:ln>
                <a:noFill/>
              </a:ln>
              <a:effectLst/>
            </c:spPr>
          </c:dPt>
          <c:dPt>
            <c:idx val="7"/>
            <c:bubble3D val="false"/>
            <c:spPr>
              <a:solidFill>
                <a:schemeClr val="accent2">
                  <a:lumMod val="60000"/>
                </a:schemeClr>
              </a:solidFill>
              <a:ln>
                <a:noFill/>
              </a:ln>
              <a:effectLst/>
            </c:spPr>
          </c:dPt>
          <c:dPt>
            <c:idx val="8"/>
            <c:bubble3D val="false"/>
            <c:spPr>
              <a:solidFill>
                <a:schemeClr val="accent3">
                  <a:lumMod val="60000"/>
                </a:schemeClr>
              </a:solidFill>
              <a:ln>
                <a:noFill/>
              </a:ln>
              <a:effectLst/>
            </c:spPr>
          </c:dPt>
          <c:dLbls>
            <c:dLbl>
              <c:idx val="4"/>
              <c:layout>
                <c:manualLayout>
                  <c:x val="0.00843170320404722"/>
                  <c:y val="0.0657894736842105"/>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5"/>
              <c:layout>
                <c:manualLayout>
                  <c:x val="-0.0202887581716704"/>
                  <c:y val="0.0884501485011742"/>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6"/>
              <c:layout>
                <c:manualLayout>
                  <c:x val="-0.0749063670411985"/>
                  <c:y val="0"/>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7"/>
              <c:layout>
                <c:manualLayout>
                  <c:x val="-0.00998751560549318"/>
                  <c:y val="0"/>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8"/>
              <c:layout>
                <c:manualLayout>
                  <c:x val="0.0558723161291179"/>
                  <c:y val="0"/>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00%" sourceLinked="false"/>
            <c:spPr>
              <a:noFill/>
              <a:ln>
                <a:noFill/>
              </a:ln>
              <a:effectLst/>
            </c:spPr>
            <c:txPr>
              <a:bodyPr rot="0" spcFirstLastPara="1" vertOverflow="ellipsis" vert="horz" wrap="square" lIns="38100" tIns="19050" rIns="38100" bIns="19050" anchor="ctr" anchorCtr="true">
                <a:spAutoFit/>
              </a:bodyPr>
              <a:lstStyle/>
              <a:p>
                <a:pPr>
                  <a:defRPr lang="zh-CN" sz="1000" b="0" i="0" u="none" strike="noStrike" kern="1200" baseline="0">
                    <a:solidFill>
                      <a:schemeClr val="tx1"/>
                    </a:solidFill>
                    <a:latin typeface="+mn-lt"/>
                    <a:ea typeface="+mn-ea"/>
                    <a:cs typeface="+mn-cs"/>
                  </a:defRPr>
                </a:pPr>
              </a:p>
            </c:txPr>
            <c:dLblPos val="out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shade val="95000"/>
                          <a:satMod val="105000"/>
                        </a:schemeClr>
                      </a:solidFill>
                      <a:prstDash val="solid"/>
                      <a:round/>
                    </a:ln>
                    <a:effectLst/>
                  </c:spPr>
                </c15:leaderLines>
              </c:ext>
            </c:extLst>
          </c:dLbls>
          <c:cat>
            <c:strRef>
              <c:f>Sheet2!$A$18:$A$26</c:f>
              <c:strCache>
                <c:ptCount val="9"/>
                <c:pt idx="0">
                  <c:v>材料</c:v>
                </c:pt>
                <c:pt idx="1">
                  <c:v>日常消费</c:v>
                </c:pt>
                <c:pt idx="2">
                  <c:v>工业</c:v>
                </c:pt>
                <c:pt idx="3">
                  <c:v>信息技术</c:v>
                </c:pt>
                <c:pt idx="4">
                  <c:v>医疗保健</c:v>
                </c:pt>
                <c:pt idx="5">
                  <c:v>可选消费</c:v>
                </c:pt>
                <c:pt idx="6">
                  <c:v>金融</c:v>
                </c:pt>
                <c:pt idx="7">
                  <c:v>能源</c:v>
                </c:pt>
                <c:pt idx="8">
                  <c:v>公用事业</c:v>
                </c:pt>
              </c:strCache>
            </c:strRef>
          </c:cat>
          <c:val>
            <c:numRef>
              <c:f>Sheet2!$B$18:$B$26</c:f>
              <c:numCache>
                <c:formatCode>General</c:formatCode>
                <c:ptCount val="9"/>
                <c:pt idx="0">
                  <c:v>3650.15</c:v>
                </c:pt>
                <c:pt idx="1">
                  <c:v>3486.96</c:v>
                </c:pt>
                <c:pt idx="2">
                  <c:v>1839.75</c:v>
                </c:pt>
                <c:pt idx="3">
                  <c:v>1377.74</c:v>
                </c:pt>
                <c:pt idx="4">
                  <c:v>1258.1</c:v>
                </c:pt>
                <c:pt idx="5">
                  <c:v>726.94</c:v>
                </c:pt>
                <c:pt idx="6">
                  <c:v>537</c:v>
                </c:pt>
                <c:pt idx="7">
                  <c:v>375.22</c:v>
                </c:pt>
                <c:pt idx="8">
                  <c:v>212.89</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plotVisOnly val="true"/>
    <c:dispBlanksAs val="zero"/>
    <c:showDLblsOverMax val="false"/>
  </c:chart>
  <c:spPr>
    <a:solidFill>
      <a:schemeClr val="bg1"/>
    </a:solidFill>
    <a:ln w="9525" cap="flat" cmpd="sng" algn="ctr">
      <a:solidFill>
        <a:srgbClr val="D9D9D9"/>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4"/>
    </mc:Choice>
    <mc:Fallback>
      <c:style val="4"/>
    </mc:Fallback>
  </mc:AlternateContent>
  <c:chart>
    <c:autoTitleDeleted val="true"/>
    <c:plotArea>
      <c:layout/>
      <c:barChart>
        <c:barDir val="col"/>
        <c:grouping val="clustered"/>
        <c:varyColors val="false"/>
        <c:ser>
          <c:idx val="0"/>
          <c:order val="0"/>
          <c:tx>
            <c:strRef>
              <c:f>Sheet3!$B$1</c:f>
              <c:strCache>
                <c:ptCount val="1"/>
                <c:pt idx="0">
                  <c:v>市值（亿元）（2023-10-31）</c:v>
                </c:pt>
              </c:strCache>
            </c:strRef>
          </c:tx>
          <c:spPr>
            <a:solidFill>
              <a:srgbClr val="C0504D"/>
            </a:solidFill>
          </c:spPr>
          <c:invertIfNegative val="false"/>
          <c:dLbls>
            <c:numFmt formatCode="#,##0.00_);[Red]\(#,##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Sheet3!$A$2:$A$11</c:f>
              <c:strCache>
                <c:ptCount val="10"/>
                <c:pt idx="0">
                  <c:v>牧原股份</c:v>
                </c:pt>
                <c:pt idx="1">
                  <c:v>洛阳钼业</c:v>
                </c:pt>
                <c:pt idx="2">
                  <c:v>双汇发展</c:v>
                </c:pt>
                <c:pt idx="3">
                  <c:v>中航光电</c:v>
                </c:pt>
                <c:pt idx="4">
                  <c:v>龙佰集团</c:v>
                </c:pt>
                <c:pt idx="5">
                  <c:v>华兰生物</c:v>
                </c:pt>
                <c:pt idx="6">
                  <c:v>神火股份</c:v>
                </c:pt>
                <c:pt idx="7">
                  <c:v>宇通客车</c:v>
                </c:pt>
                <c:pt idx="8">
                  <c:v>安图生物</c:v>
                </c:pt>
                <c:pt idx="9">
                  <c:v>平煤股份</c:v>
                </c:pt>
              </c:strCache>
            </c:strRef>
          </c:cat>
          <c:val>
            <c:numRef>
              <c:f>Sheet3!$B$2:$B$11</c:f>
              <c:numCache>
                <c:formatCode>General</c:formatCode>
                <c:ptCount val="10"/>
                <c:pt idx="0">
                  <c:v>2063.72</c:v>
                </c:pt>
                <c:pt idx="1">
                  <c:v>1196.6</c:v>
                </c:pt>
                <c:pt idx="2">
                  <c:v>908.09</c:v>
                </c:pt>
                <c:pt idx="3">
                  <c:v>875.58</c:v>
                </c:pt>
                <c:pt idx="4">
                  <c:v>444.57</c:v>
                </c:pt>
                <c:pt idx="5">
                  <c:v>428.18</c:v>
                </c:pt>
                <c:pt idx="6">
                  <c:v>370.74</c:v>
                </c:pt>
                <c:pt idx="7">
                  <c:v>301.98</c:v>
                </c:pt>
                <c:pt idx="8">
                  <c:v>260.6</c:v>
                </c:pt>
                <c:pt idx="9">
                  <c:v>231.39</c:v>
                </c:pt>
              </c:numCache>
            </c:numRef>
          </c:val>
        </c:ser>
        <c:dLbls>
          <c:showLegendKey val="false"/>
          <c:showVal val="true"/>
          <c:showCatName val="false"/>
          <c:showSerName val="false"/>
          <c:showPercent val="false"/>
          <c:showBubbleSize val="false"/>
        </c:dLbls>
        <c:gapWidth val="75"/>
        <c:axId val="197067424"/>
        <c:axId val="197065792"/>
      </c:barChart>
      <c:catAx>
        <c:axId val="197067424"/>
        <c:scaling>
          <c:orientation val="minMax"/>
        </c:scaling>
        <c:delete val="false"/>
        <c:axPos val="b"/>
        <c:numFmt formatCode="General" sourceLinked="fals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7065792"/>
        <c:crosses val="autoZero"/>
        <c:auto val="true"/>
        <c:lblAlgn val="ctr"/>
        <c:lblOffset val="100"/>
        <c:noMultiLvlLbl val="false"/>
      </c:catAx>
      <c:valAx>
        <c:axId val="197065792"/>
        <c:scaling>
          <c:orientation val="minMax"/>
          <c:max val="2300"/>
        </c:scaling>
        <c:delete val="false"/>
        <c:axPos val="l"/>
        <c:majorGridlines>
          <c:spPr>
            <a:ln w="9525" cap="flat" cmpd="sng" algn="ctr">
              <a:noFill/>
              <a:prstDash val="solid"/>
              <a:round/>
            </a:ln>
          </c:spPr>
        </c:majorGridlines>
        <c:numFmt formatCode="#,##0.00_);[Red]\(#,##0.00\)" sourceLinked="fals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7067424"/>
        <c:crosses val="autoZero"/>
        <c:crossBetween val="between"/>
        <c:majorUnit val="575"/>
      </c:valAx>
      <c:spPr>
        <a:ln>
          <a:noFill/>
        </a:ln>
      </c:spPr>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solidFill>
        <a:srgbClr val="D9D9D9"/>
      </a:solidFill>
      <a:prstDash val="solid"/>
      <a:round/>
    </a:ln>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月成交额（亿元）</c:v>
                </c:pt>
              </c:strCache>
            </c:strRef>
          </c:tx>
          <c:spPr>
            <a:solidFill>
              <a:srgbClr val="C0504D"/>
            </a:solidFill>
          </c:spPr>
          <c:invertIfNegative val="false"/>
          <c:dLbls>
            <c:numFmt formatCode="#,##0.00_);[Red]\(#,##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Sheet1!$A$2:$A$11</c:f>
              <c:strCache>
                <c:ptCount val="10"/>
                <c:pt idx="0">
                  <c:v>牧原股份</c:v>
                </c:pt>
                <c:pt idx="1">
                  <c:v>莲花健康</c:v>
                </c:pt>
                <c:pt idx="2">
                  <c:v>远东传动</c:v>
                </c:pt>
                <c:pt idx="3">
                  <c:v>飞龙股份</c:v>
                </c:pt>
                <c:pt idx="4">
                  <c:v>洛阳钼业</c:v>
                </c:pt>
                <c:pt idx="5">
                  <c:v>神火股份</c:v>
                </c:pt>
                <c:pt idx="6">
                  <c:v>林州重机</c:v>
                </c:pt>
                <c:pt idx="7">
                  <c:v>新强联</c:v>
                </c:pt>
                <c:pt idx="8">
                  <c:v>中航光电</c:v>
                </c:pt>
                <c:pt idx="9">
                  <c:v>龙佰集团</c:v>
                </c:pt>
              </c:strCache>
            </c:strRef>
          </c:cat>
          <c:val>
            <c:numRef>
              <c:f>Sheet1!$B$2:$B$11</c:f>
              <c:numCache>
                <c:formatCode>###,###,###,##0.0000</c:formatCode>
                <c:ptCount val="10"/>
                <c:pt idx="0">
                  <c:v>210.23</c:v>
                </c:pt>
                <c:pt idx="1">
                  <c:v>208.77</c:v>
                </c:pt>
                <c:pt idx="2">
                  <c:v>119.73</c:v>
                </c:pt>
                <c:pt idx="3">
                  <c:v>113.66</c:v>
                </c:pt>
                <c:pt idx="4">
                  <c:v>80.07</c:v>
                </c:pt>
                <c:pt idx="5">
                  <c:v>66.37</c:v>
                </c:pt>
                <c:pt idx="6">
                  <c:v>63.11</c:v>
                </c:pt>
                <c:pt idx="7">
                  <c:v>61.21</c:v>
                </c:pt>
                <c:pt idx="8">
                  <c:v>54.62</c:v>
                </c:pt>
                <c:pt idx="9">
                  <c:v>49.82</c:v>
                </c:pt>
              </c:numCache>
            </c:numRef>
          </c:val>
        </c:ser>
        <c:dLbls>
          <c:showLegendKey val="false"/>
          <c:showVal val="true"/>
          <c:showCatName val="false"/>
          <c:showSerName val="false"/>
          <c:showPercent val="false"/>
          <c:showBubbleSize val="false"/>
        </c:dLbls>
        <c:gapWidth val="75"/>
        <c:axId val="121946672"/>
        <c:axId val="121939600"/>
      </c:barChart>
      <c:catAx>
        <c:axId val="121946672"/>
        <c:scaling>
          <c:orientation val="minMax"/>
        </c:scaling>
        <c:delete val="false"/>
        <c:axPos val="b"/>
        <c:numFmt formatCode="General" sourceLinked="fals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939600"/>
        <c:crosses val="autoZero"/>
        <c:auto val="true"/>
        <c:lblAlgn val="ctr"/>
        <c:lblOffset val="100"/>
        <c:noMultiLvlLbl val="false"/>
      </c:catAx>
      <c:valAx>
        <c:axId val="121939600"/>
        <c:scaling>
          <c:orientation val="minMax"/>
          <c:max val="300"/>
        </c:scaling>
        <c:delete val="false"/>
        <c:axPos val="l"/>
        <c:numFmt formatCode="#,##0.00_);[Red]\(#,##0.00\)" sourceLinked="false"/>
        <c:majorTickMark val="out"/>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946672"/>
        <c:crosses val="autoZero"/>
        <c:crossBetween val="between"/>
        <c:majorUnit val="75"/>
      </c:valAx>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solidFill>
        <a:srgbClr val="D9D9D9"/>
      </a:solidFill>
      <a:prstDash val="solid"/>
      <a:round/>
    </a:ln>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19</Pages>
  <Words>1944</Words>
  <Characters>11084</Characters>
  <Lines>92</Lines>
  <Paragraphs>26</Paragraphs>
  <TotalTime>0</TotalTime>
  <ScaleCrop>false</ScaleCrop>
  <LinksUpToDate>false</LinksUpToDate>
  <CharactersWithSpaces>13002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2019-03-11T09:10:00Z</dcterms:created>
  <dc:creator>Annie</dc:creator>
  <cp:lastModifiedBy>user</cp:lastModifiedBy>
  <cp:lastPrinted>2019-03-05T16:32:00Z</cp:lastPrinted>
  <dcterms:modified xsi:type="dcterms:W3CDTF">2023-11-10T17:35:22Z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