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1</w:t>
      </w:r>
      <w:r>
        <w:rPr>
          <w:rFonts w:hint="eastAsia" w:ascii="华文中宋" w:hAnsi="华文中宋" w:eastAsia="华文中宋" w:cs="Arial"/>
          <w:b/>
          <w:sz w:val="40"/>
          <w:szCs w:val="28"/>
        </w:rPr>
        <w:t>1</w:t>
      </w:r>
      <w:r>
        <w:rPr>
          <w:rFonts w:ascii="华文中宋" w:hAnsi="华文中宋" w:eastAsia="华文中宋" w:cs="Arial"/>
          <w:b/>
          <w:sz w:val="40"/>
          <w:szCs w:val="28"/>
        </w:rPr>
        <w:t>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sz w:val="28"/>
        </w:rPr>
        <w:t>河南上市公司协会联合上海信公科技集团股份有限公司，就河南辖区上市公司2023年</w:t>
      </w:r>
      <w:r>
        <w:rPr>
          <w:rFonts w:hint="eastAsia" w:ascii="仿宋" w:hAnsi="仿宋" w:eastAsia="仿宋"/>
          <w:sz w:val="28"/>
          <w:lang w:val="en-US" w:eastAsia="zh-CN"/>
        </w:rPr>
        <w:t>11</w:t>
      </w:r>
      <w:r>
        <w:rPr>
          <w:rFonts w:hint="eastAsia" w:ascii="仿宋" w:hAnsi="仿宋" w:eastAsia="仿宋"/>
          <w:sz w:val="28"/>
        </w:rPr>
        <w:t>月份市场表现及公开披露的相关信息进行归纳总结、对比分析，具体如下：</w:t>
      </w:r>
      <w:bookmarkStart w:id="0" w:name="_GoBack"/>
      <w:bookmarkEnd w:id="0"/>
    </w:p>
    <w:p>
      <w:pPr>
        <w:spacing w:after="156" w:afterLines="50" w:line="360" w:lineRule="auto"/>
        <w:rPr>
          <w:rFonts w:ascii="仿宋" w:hAnsi="仿宋" w:eastAsia="仿宋"/>
          <w:b/>
          <w:sz w:val="28"/>
        </w:rPr>
      </w:pPr>
      <w:r>
        <w:rPr>
          <w:rFonts w:hint="eastAsia" w:ascii="仿宋" w:hAnsi="仿宋" w:eastAsia="仿宋"/>
          <w:b/>
          <w:sz w:val="28"/>
        </w:rPr>
        <w:t>一、十一</w:t>
      </w:r>
      <w:r>
        <w:rPr>
          <w:rFonts w:ascii="仿宋" w:hAnsi="仿宋" w:eastAsia="仿宋"/>
          <w:b/>
          <w:sz w:val="28"/>
        </w:rPr>
        <w:t>月</w:t>
      </w:r>
      <w:r>
        <w:rPr>
          <w:rFonts w:hint="eastAsia" w:ascii="仿宋" w:hAnsi="仿宋" w:eastAsia="仿宋"/>
          <w:b/>
          <w:sz w:val="28"/>
        </w:rPr>
        <w:t>国内重要财经新闻浏览</w:t>
      </w:r>
    </w:p>
    <w:p>
      <w:pPr>
        <w:widowControl/>
        <w:ind w:firstLine="562" w:firstLineChars="200"/>
        <w:rPr>
          <w:rFonts w:ascii="仿宋" w:hAnsi="仿宋" w:eastAsia="仿宋" w:cs="仿宋"/>
          <w:sz w:val="28"/>
          <w:szCs w:val="28"/>
        </w:rPr>
      </w:pPr>
      <w:r>
        <w:rPr>
          <w:rFonts w:hint="eastAsia" w:ascii="仿宋" w:hAnsi="仿宋" w:eastAsia="仿宋" w:cs="仿宋"/>
          <w:b/>
          <w:sz w:val="28"/>
          <w:szCs w:val="28"/>
        </w:rPr>
        <w:t>1</w:t>
      </w:r>
      <w:r>
        <w:rPr>
          <w:rFonts w:ascii="仿宋" w:hAnsi="仿宋" w:eastAsia="仿宋" w:cs="仿宋"/>
          <w:b/>
          <w:sz w:val="28"/>
          <w:szCs w:val="28"/>
        </w:rPr>
        <w:t>.</w:t>
      </w:r>
      <w:r>
        <w:rPr>
          <w:rFonts w:hint="eastAsia" w:ascii="仿宋" w:hAnsi="仿宋" w:eastAsia="仿宋" w:cs="仿宋"/>
          <w:b/>
          <w:sz w:val="28"/>
          <w:szCs w:val="28"/>
        </w:rPr>
        <w:t>国资委：培育孵化一批独角兽企业 联合建设一批战略性新兴产业集群。</w:t>
      </w:r>
      <w:r>
        <w:rPr>
          <w:rFonts w:hint="eastAsia" w:ascii="仿宋" w:hAnsi="仿宋" w:eastAsia="仿宋" w:cs="仿宋"/>
          <w:sz w:val="28"/>
          <w:szCs w:val="28"/>
        </w:rPr>
        <w:t>财联社11月25日电，国务院国资委召开中央企业负责人专题会议，会议强调，要全面加大工作力度，深入推进国有资本布局优化结构调整，更好发挥科技创新、产业控制、安全支撑作用。要坚持系统谋划、分类施策，加强国有资本投入，强化创新驱动发展，灵活采取控股、参股、交叉持股等资本运营方式，持续巩固国有经济具备基础又必须掌控领域的优势地位，加快补齐短板。要加快发展战略性新兴产业，坚持一把手主抓，明确优先级，锚定重点产业抢位发展、错位发展，培育孵化一批独角兽企业，联合建设一批战略性新兴产业集群。要协同推进科技攻关和未来产业布局，抓好技术策源、要素集聚、主体协同、成果转化，加快突破一批重点产业底层技术、前沿颠覆性技术，建立健全布局未来产业的机制。国务院国资委将进一步优化国有资本经营预算管理，完善重点行业、关键领域注资规划，更好发挥预算资金效用，各企业要加强系统谋划，最大限度统筹调配内部各类要素资源，为优化布局结构、推进产业升级、强化科技创新等提供保障。</w:t>
      </w:r>
    </w:p>
    <w:p>
      <w:pPr>
        <w:widowControl/>
        <w:ind w:firstLine="562" w:firstLineChars="200"/>
        <w:rPr>
          <w:rFonts w:ascii="仿宋" w:hAnsi="仿宋" w:eastAsia="仿宋" w:cs="仿宋"/>
          <w:sz w:val="28"/>
          <w:szCs w:val="28"/>
        </w:rPr>
      </w:pPr>
      <w:r>
        <w:rPr>
          <w:rFonts w:hint="eastAsia" w:ascii="仿宋" w:hAnsi="仿宋" w:eastAsia="仿宋" w:cs="仿宋"/>
          <w:b/>
          <w:sz w:val="28"/>
          <w:szCs w:val="28"/>
        </w:rPr>
        <w:t>2</w:t>
      </w:r>
      <w:r>
        <w:rPr>
          <w:rFonts w:ascii="仿宋" w:hAnsi="仿宋" w:eastAsia="仿宋" w:cs="仿宋"/>
          <w:b/>
          <w:sz w:val="28"/>
          <w:szCs w:val="28"/>
        </w:rPr>
        <w:t>.</w:t>
      </w:r>
      <w:r>
        <w:rPr>
          <w:rFonts w:hint="eastAsia" w:ascii="仿宋" w:hAnsi="仿宋" w:eastAsia="仿宋" w:cs="仿宋"/>
          <w:b/>
          <w:sz w:val="28"/>
          <w:szCs w:val="28"/>
        </w:rPr>
        <w:t>财政部：10月全国地方政府债券发行新增债券2267亿元。</w:t>
      </w:r>
      <w:r>
        <w:rPr>
          <w:rFonts w:hint="eastAsia" w:ascii="仿宋" w:hAnsi="仿宋" w:eastAsia="仿宋" w:cs="仿宋"/>
          <w:sz w:val="28"/>
          <w:szCs w:val="28"/>
        </w:rPr>
        <w:t>财联社11月29日电，据财政部官网消息，2023年10月，全国发行新增债券2267亿元，其中一般债券83亿元、专项债券2184亿元。全国发行再融资债券11696亿元，其中一般债券8229亿元、专项债券3467亿元。合计，全国发行地方政府债券13963亿元，其中一般债券8312亿元、专项债券5651亿元。2023年10月，地方政府债券平均发行期限9.7年，其中一般债券6.9年，专项债券13.9年。2023年10月，地方政府债券平均发行利率2.92%，其中一般债券2.86%，专项债券2.99%。</w:t>
      </w:r>
    </w:p>
    <w:p>
      <w:pPr>
        <w:widowControl/>
        <w:ind w:firstLine="562" w:firstLineChars="200"/>
        <w:rPr>
          <w:rFonts w:ascii="仿宋" w:hAnsi="仿宋" w:eastAsia="仿宋" w:cs="仿宋"/>
          <w:sz w:val="28"/>
          <w:szCs w:val="28"/>
        </w:rPr>
      </w:pPr>
      <w:r>
        <w:rPr>
          <w:rFonts w:ascii="仿宋" w:hAnsi="仿宋" w:eastAsia="仿宋" w:cs="仿宋"/>
          <w:b/>
          <w:bCs/>
          <w:sz w:val="28"/>
          <w:szCs w:val="28"/>
        </w:rPr>
        <w:t>3.</w:t>
      </w:r>
      <w:r>
        <w:rPr>
          <w:rFonts w:hint="eastAsia" w:ascii="仿宋" w:hAnsi="仿宋" w:eastAsia="仿宋" w:cs="仿宋"/>
          <w:b/>
          <w:sz w:val="28"/>
          <w:szCs w:val="28"/>
        </w:rPr>
        <w:t>商务部：中国和乌拉圭将加强数字经济和绿色发展领域合作。</w:t>
      </w:r>
      <w:r>
        <w:rPr>
          <w:rFonts w:hint="eastAsia" w:ascii="仿宋" w:hAnsi="仿宋" w:eastAsia="仿宋" w:cs="仿宋"/>
          <w:sz w:val="28"/>
          <w:szCs w:val="28"/>
        </w:rPr>
        <w:t>财联社11月23日电，在今天（23日）举行的商务部例行发布会上，商务部新闻发言人束珏婷表示，中国和乌拉圭将加强在数字经济和绿色发展领域投资合作，打造双边投资合作高质量发展的新动力。</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束珏婷介绍，11月20—24日乌拉圭总统拉卡列访华期间，双方同意在中乌经贸混委会机制下设立贸易畅通工作组，进一步提升双边贸易便利化水平；同意加强在数字经济和绿色发展领域投资合作，打造双边投资合作高质量发展的新动力。</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束珏婷表示，下一步，商务部愿与乌方相关部门一道，全力落实好两国元首达成的重要共识，推进经贸领域各项成果落实落地，为中乌全面战略伙伴关系发展注入新动能。</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4.</w:t>
      </w:r>
      <w:r>
        <w:rPr>
          <w:rFonts w:hint="eastAsia" w:ascii="仿宋" w:hAnsi="仿宋" w:eastAsia="仿宋" w:cs="仿宋"/>
          <w:b/>
          <w:bCs/>
          <w:sz w:val="28"/>
          <w:szCs w:val="28"/>
        </w:rPr>
        <w:t>央行：中国经济将继续向常态化运行轨道回归 预计全年5%左右的增长目标能够顺利实现。</w:t>
      </w:r>
      <w:r>
        <w:rPr>
          <w:rFonts w:hint="eastAsia" w:ascii="仿宋" w:hAnsi="仿宋" w:eastAsia="仿宋" w:cs="仿宋"/>
          <w:bCs/>
          <w:sz w:val="28"/>
          <w:szCs w:val="28"/>
        </w:rPr>
        <w:t>央行发布2023年第三季度中国货币政策执行报告指出，下半年以来，随着宏观政策“组合拳”成效不断显现，我国经济回升向好态势持续巩固，各方面积极因素逐渐增多，三季度GDP增速也好于市场预期。展望未来，经济内生动力还将不断增强，一是消费潜能继续释放。居民收入增速已连续2个季度高于名义经济增速，个人所得税扣除标准提高、存量房贷利率下调等政策持续显效，还将继续支持扩大居民收入，提升消费能力。二是投资新动能促进稳总量、优结构。制造业投资增速已连续2个月加快，其中民间制造业投资增速保持在9%的高位，“平急两用”公共基础设施、城中村改造和保障性住房“三大工程”建设等也有利于稳住房地产投资。三是出口仍具有较强竞争力。在全球贸易增长放缓背景下，上半年我国出口份额为14.2%，较去年同期高0.4个百分点。总体看，财政、货币、产业、就业等政策持续发力，协同合力进一步显现，经济金融良性循环进一步畅通，我国经济将继续向常态化运行轨道回归，预计全年5%左右的增长目标能够顺利实现。</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5.</w:t>
      </w:r>
      <w:r>
        <w:rPr>
          <w:rFonts w:hint="eastAsia" w:ascii="仿宋" w:hAnsi="仿宋" w:eastAsia="仿宋" w:cs="仿宋"/>
          <w:b/>
          <w:bCs/>
          <w:sz w:val="28"/>
          <w:szCs w:val="28"/>
        </w:rPr>
        <w:t>证监会：坚决反对并严厉打击编造传播资本市场虚假信息以及误导性信息的行为。</w:t>
      </w:r>
      <w:r>
        <w:rPr>
          <w:rFonts w:hint="eastAsia" w:ascii="仿宋" w:hAnsi="仿宋" w:eastAsia="仿宋" w:cs="仿宋"/>
          <w:bCs/>
          <w:sz w:val="28"/>
          <w:szCs w:val="28"/>
        </w:rPr>
        <w:t>财联社11月24日电，证监会有关部门负责人就查处王某等编造传播虚假信息答记者问。问：近期，我们注意到，“公安部网安局”微信公众号发布了《成都网警破获一起编造传播证券市场网络谣言案》。请问证监会对此有何评论？</w:t>
      </w:r>
    </w:p>
    <w:p>
      <w:pPr>
        <w:widowControl/>
        <w:ind w:firstLine="560" w:firstLineChars="200"/>
        <w:rPr>
          <w:rFonts w:ascii="仿宋" w:hAnsi="仿宋" w:eastAsia="仿宋" w:cs="仿宋"/>
          <w:bCs/>
          <w:sz w:val="28"/>
          <w:szCs w:val="28"/>
        </w:rPr>
      </w:pPr>
      <w:r>
        <w:rPr>
          <w:rFonts w:hint="eastAsia" w:ascii="仿宋" w:hAnsi="仿宋" w:eastAsia="仿宋" w:cs="仿宋"/>
          <w:bCs/>
          <w:sz w:val="28"/>
          <w:szCs w:val="28"/>
        </w:rPr>
        <w:t>答：一段时间以来，一些不法分子编造传播资本市场虚假信息和谣言。四川省成都市公安机关以及相关地方公安机关迅速部署，证监会密切配合，对相关责任人依法采取教育制止、传唤警告、拘留处罚等措施坚决查处。经查，王某等人编造资本市场虚假信息和谣言，制作虚假新闻图片，使用技术手段仿冒境外通讯社新闻网页，在微信群内传播，经多人转发，严重误导投资者和社会公众，扰乱了资本市场正常秩序，必须予以严厉打击。一直以来，证监会坚决反对并严厉打击编造传播资本市场虚假信息以及误导性信息的行为，呼吁各方面真实、客观传播信息，不造谣、不传谣、不信谣，共同维护资本市场信息传播秩序，共同维护有利于资本市场健康发展的生态环境。</w:t>
      </w:r>
    </w:p>
    <w:p>
      <w:pPr>
        <w:widowControl/>
        <w:rPr>
          <w:rFonts w:ascii="仿宋" w:hAnsi="仿宋" w:eastAsia="仿宋" w:cs="仿宋"/>
          <w:b/>
          <w:bCs/>
          <w:sz w:val="28"/>
          <w:szCs w:val="28"/>
        </w:rPr>
      </w:pPr>
      <w:r>
        <w:rPr>
          <w:rFonts w:hint="eastAsia" w:ascii="仿宋" w:hAnsi="仿宋" w:eastAsia="仿宋" w:cs="仿宋"/>
          <w:b/>
          <w:bCs/>
          <w:sz w:val="28"/>
          <w:szCs w:val="28"/>
        </w:rPr>
        <w:t>二、十一月券商行业研究情况浏览</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1.银行业：低利率环境下的量价平衡术</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2024年银行业经营展望：更加注重节奏平稳，寻求“量价险期”再平衡。2023年，有效信贷需求仍待修复、贷款定价下行等因素叠加，银行扩表“量增难抵价降”，拨备反哺力度增强，营收与盈利增速趋降，剪刀差走阔。37家上市银行1-3Q营业收入、净利润同比增速分别为-0.8%、2.5%。展望2024年，随着信贷投放更加注重节奏平稳，银行扩表行为有望从“以量补价”向“量价平衡”过渡，存量按揭重定价、城投化债等因素仍将对息差形成较强拖累。但对地产、城投等领域提供配套金融支持，也有助于银行信用风险缓释，是以利润表的减收来保障资产负债表安全的逻辑，需要银行体系寻求“量价险期”再平衡。测算2024年上市银行营收增速有望转正，盈利增速2%-3%。</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规模：信贷、社融、货币“量稳速降”。信贷投放“总量适度、节奏平稳、效率提升”。2024年新增人民币贷款预估23~24万亿，年末增速在10%附近；季度间、月度间新增贷款波动收窄。预估全年新增社融36~37万亿，增速9.5%~9.7%。</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结构：重点领域延续高增，“三大工程”加速发力。基建、制造业、普惠小微、绿色贷款等仍将延续高增态势；涉房贷款边际改善，按揭、开发贷增速分别上修至1.6%、3%；“三大工程”相关配套融资需求可能形成信贷投放新发力点。</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息差：NIM继续承压收窄，但压力有望边际缓释。贷款边际定价压力收窄，存量贷款年初集中重定价将对24Q1息差形成冲击，城投化债“降息展期”等安排也将挤压NIM，滚动重定价拖累加剧；负债成本管控或仍有较大下行空间。测算2024年商业银行净息差同比下降13bp左右，全年息差中枢降至1.5%~1.55%。</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资产质量：不良生成压力可控，信用成本预估稳定。经济逐步筑底回暖预期下，叠加房地产、城投等化险政策支持，资产质量有望保持稳健，阶段性信用扩张也有助推动风险逐渐缓释，信用成本预估稳定。重点领域风险前瞻：1）对公房地产领域仍处在风险释放期，市场自发运行存在“二次探底”概率；2）城投债务“降息展期”短期风险可控，长期看需提升平台自身盈利能力；3）部分零售长尾客群风险仍偏高，零售贷款不良压力整体可控。</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资本：“资本新规”将于2024年正式实施，引领展业方向，TLAC渐行渐近。“资本新规”正式稿调整了部分资本计量要求，对上市银行资本充足率影响总体偏正面，高级法取消了1.06倍的调整因子并下调资本底线，预估大行资本充足率小幅抬升；中小银行对公贷款、零售贷款RWA预估分别下降约8%、5%。此外，根据监管要求，2025年起，我国G-SIBs（目前为四大行，交行2023年首次入选G-SIBs，2027年初达标即可）需达标TLAC要求。2025年初我国G-SIBs的TLAC缺口预估在万亿量级，2024年初TLAC非资本债务工具或启动发行。</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展望2024年，银行板块机遇与挑战并存，经营基本面预估总体稳定，能够维持银行业利润合理增长，从估值角度，银行板块PB估值处于历史低位，股价下行空间相对有限，具有防御属性，可稳中求进。具体到投资标的上，建议关注两条主线：1）稳健大行的韧性：继续关注市场避险情绪，叠加“中特估”加持下的国有大行稳健表现，重点推荐农行、邮储；同时也可以延伸至整体股价弹性相对较弱的“低估值、高分红”品种，建议关注北京银行等；2）优质小行的弹性：城投化债“降息展期”、存量贷款滚动重定价等政策安排对特定区域中小银行的影响可能存在预期差。我们认为对于一些深耕小微业务等特定客群的银行，息差相对韧性可能更强，可以重点关注常熟、苏州、江苏、杭州四家江浙区域的优质中小行。</w:t>
      </w:r>
    </w:p>
    <w:p>
      <w:pPr>
        <w:pStyle w:val="7"/>
        <w:spacing w:before="156" w:beforeLines="50" w:beforeAutospacing="0" w:after="156" w:afterLines="50" w:afterAutospacing="0" w:line="360" w:lineRule="auto"/>
        <w:ind w:firstLine="210" w:firstLineChars="100"/>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（内容来源：光大证券股份有限公司2023-11-30）</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2.</w:t>
      </w:r>
      <w:r>
        <w:rPr>
          <w:rFonts w:hint="eastAsia" w:ascii="仿宋" w:hAnsi="仿宋" w:eastAsia="仿宋" w:cs="仿宋"/>
          <w:b/>
          <w:bCs/>
          <w:color w:val="333333"/>
          <w:kern w:val="0"/>
          <w:sz w:val="28"/>
          <w:szCs w:val="28"/>
          <w:shd w:val="clear" w:color="auto" w:fill="FFFFFF"/>
        </w:rPr>
        <w:t>钢铁行业：减量发展的大背景下，钢铁行业存在的结构性机会</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中国钢铁行业已进入登顶下探期，未来钢材消费下滑是大概率事件：中国经济已由高速增长进入高质量转型发展期，随着经济的发展，中国钢铁行业进入登顶、创新发展期。“十四五”期间钢铁行业将迎来高质量发展阶段，严控新增产能，钢企双碳转型。我们认为钢铁行业已进入峰值区，未来下探可能性较大。此外，从钢铁主要应用下游来看，尽管钢结构、汽车、家电、造船等行业未来用钢量存在支撑，有一定的增长空间，但增幅有限；用钢量最大的房地产行业在人口红利消失、住房刚需减弱的情况下，预计未来下滑幅度明显。受此影响，机械行业未来表现预计也将不容乐观，故部分行业的增长无法扭转钢材消费下滑的大趋势。</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在减量发展的背景下，部分品种有望逆势上涨：不同的钢材品种应用的消费下游不同，如螺纹钢主要用在房地产行业，热卷主要应用在机械、汽车等行业，中厚板主要用在机械、钢结构、造船等行业。未来发展乏力的行业所对应需要的钢材品种需求也将受到较大影响。在钢结构、造船、家电等行业发展的带动下，冷轧、中厚板有消费增长的空间，尤其中厚板增量较为可观。受房地产拖累，螺纹钢、线材未来消费量下滑幅度较大。</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从主要上市公司盈利状况来看，特钢、钢管类生产企业表现较为亮眼：根据钢铁行业主要上市公司最新批露的三季度财报，3家主要钢管类生产企业均实现了盈利，13家特钢类生产企业仅有一家出现亏损。从近三年的企业毛利率来看，特钢类生产企业平均毛利率最高，在行业整体盈利逐年下滑的情况下，特钢类生产企业依然保持了10%以上的毛利率，管材类生产企业的营业毛利率在8%左右，位居第二。而因下游消费动力不足，长材、板材类生产企业的平均毛利率近两年下滑幅度明显。</w:t>
      </w:r>
    </w:p>
    <w:p>
      <w:pPr>
        <w:pStyle w:val="7"/>
        <w:spacing w:before="156" w:beforeLines="50" w:beforeAutospacing="0" w:after="156" w:afterLines="50" w:afterAutospacing="0" w:line="360" w:lineRule="auto"/>
        <w:ind w:firstLine="561"/>
        <w:jc w:val="right"/>
        <w:rPr>
          <w:rFonts w:ascii="仿宋" w:hAnsi="仿宋" w:eastAsia="仿宋" w:cs="仿宋"/>
          <w:color w:val="333333"/>
          <w:sz w:val="28"/>
          <w:szCs w:val="28"/>
          <w:shd w:val="clear" w:color="auto" w:fill="FFFFFF"/>
        </w:rPr>
      </w:pPr>
      <w:r>
        <w:rPr>
          <w:rFonts w:hint="eastAsia" w:ascii="微软雅黑" w:hAnsi="微软雅黑" w:eastAsia="微软雅黑" w:cs="Calibri"/>
          <w:color w:val="A6A6A6" w:themeColor="background1" w:themeShade="A6"/>
          <w:sz w:val="21"/>
          <w:szCs w:val="21"/>
        </w:rPr>
        <w:t>（内容来源：华宝证券股份有限公司2023-11-23）</w:t>
      </w:r>
    </w:p>
    <w:p>
      <w:pPr>
        <w:ind w:firstLine="562" w:firstLineChars="200"/>
        <w:rPr>
          <w:rFonts w:ascii="仿宋" w:hAnsi="仿宋" w:eastAsia="仿宋" w:cs="仿宋"/>
          <w:b/>
          <w:bCs/>
          <w:color w:val="333333"/>
          <w:sz w:val="28"/>
          <w:szCs w:val="28"/>
          <w:shd w:val="clear" w:color="auto" w:fill="FFFFFF"/>
        </w:rPr>
      </w:pPr>
      <w:r>
        <w:rPr>
          <w:rFonts w:hint="eastAsia" w:ascii="仿宋" w:hAnsi="仿宋" w:eastAsia="仿宋" w:cs="仿宋"/>
          <w:b/>
          <w:bCs/>
          <w:color w:val="333333"/>
          <w:kern w:val="0"/>
          <w:sz w:val="28"/>
          <w:szCs w:val="28"/>
          <w:shd w:val="clear" w:color="auto" w:fill="FFFFFF"/>
        </w:rPr>
        <w:t>3.</w:t>
      </w:r>
      <w:r>
        <w:rPr>
          <w:rFonts w:hint="eastAsia" w:ascii="仿宋" w:hAnsi="仿宋" w:eastAsia="仿宋" w:cs="仿宋"/>
          <w:b/>
          <w:bCs/>
          <w:color w:val="333333"/>
          <w:sz w:val="28"/>
          <w:szCs w:val="28"/>
          <w:shd w:val="clear" w:color="auto" w:fill="FFFFFF"/>
        </w:rPr>
        <w:t>电子行业：长鞭效应”再起，科技巨擘勇立潮头</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2022年以来半导体行业“长鞭效应”再起，科技龙头英伟达引领AI创新浪潮。我们对半导体行业周期进行复盘发现：全球半导体市场表现出一定的周期性，2022年消费电子行业景气度下行，叠加疫情导致的库存累积，半导体行业出现了一定程度的“长鞭效应”。每轮“长鞭效应”后，科技新龙头找到了拉动行业增长的新引擎，引领行业创新浪潮；2023年以来AI拉动下游行业需求增长，我们预计AI有望维持3-5年中长期维度的增长，硬件端英伟达等公司拉动算力增长，建议继续重视AI相关产业链投资机会。</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电子板块研发投入力度加大，重视颠覆性创新机会，我们建议关注全真互联网、碳化硅与半导体材料三大细分赛道。研发投入主要用于创造需求、客户联合开发和重构产业链，研发占比在同行业高的公司在行业回暖的时候表现将更加突出。2019-2023年前三季度，A股电子板块研发费用总额和研发费用占比逐年提升，研发费用的持续增长为公司业务发展奠定了良好的基础。当下颠覆性技术例如元宇宙、算力、智能驾驶等持续渗透，另外半导体上游材料与设备国产化持续推进，电子板块研发投入明显提升。技术创新与研发共进，有望给电子板块相关公司带来新的发展机遇，我们建议关注全真互联网、碳化硅与半导体材料三大细分赛道。</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一）全真互联网：算力搭台，XR唱戏，未来已来。全真互联是通过多种终端和形式，实现对真实世界全面感知、连接、交互的一系列技术集合。作为下一代互联网的核心发展趋势，全真互联正引领信息载体从传统图文形式向3D立体式现实世界的转变。VR/AR作为全真互联网的人机交互终端，是虚拟世界的交互入口，VR游戏收入将从2022年的18亿美元增长到2024年的32亿美元。与海外市场相比，国内VR/AR供应链更为完备，硅基OLED屏幕市场规模将迎来快速发展期。</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二）汽车行业拉动碳化硅行业快速增长，2027年全球碳化硅市场预计将超过60亿美元，下游汽车占比将超过75%。汽车是SiC下游最大的应用市场，占比将会超过75%，2021-2027年复合增速将超过34%。全球碳化硅厂商行业集中度较高，前五大SiC厂商占有大约70%的市场份额。国内SiC产业快速发展，预计2027年中国SiC器件市场规模将突破700亿元。国内碳化硅产业快速崛起，上游衬底行业天科合达、山东天岳等公司竞争优势相对较为突出。国内外产业资本积极加码碳化硅领域投资，2023年多家碳化硅厂商获得知名PE投资机构上亿投资，产业与资本共振，看好碳化硅板块相关投资机会。</w:t>
      </w:r>
    </w:p>
    <w:p>
      <w:pPr>
        <w:ind w:firstLine="560" w:firstLineChars="200"/>
        <w:jc w:val="left"/>
        <w:rPr>
          <w:rFonts w:ascii="仿宋" w:hAnsi="仿宋" w:eastAsia="仿宋" w:cs="仿宋"/>
          <w:color w:val="333333"/>
          <w:sz w:val="28"/>
          <w:szCs w:val="28"/>
          <w:shd w:val="clear" w:color="auto" w:fill="FFFFFF"/>
        </w:rPr>
      </w:pPr>
      <w:r>
        <w:rPr>
          <w:rFonts w:hint="eastAsia" w:ascii="仿宋" w:hAnsi="仿宋" w:eastAsia="仿宋" w:cs="仿宋"/>
          <w:color w:val="333333"/>
          <w:kern w:val="0"/>
          <w:sz w:val="28"/>
          <w:szCs w:val="28"/>
          <w:shd w:val="clear" w:color="auto" w:fill="FFFFFF"/>
        </w:rPr>
        <w:t xml:space="preserve">（三）半导体材料：国产化进程加速，2019-2023年全球半导体材料市场CAGR为7.62%。半导体材料位于半导体产业链上游环节，按照应用环节半导体材料可以分为晶圆制造材料与封装材料，按材料市场规模来看，晶圆制造材料和封装材料占比分别为62.80%和37.20%。半导体材料行业市场规模整体持续增长，2019-2023年CAGR为7.62%。半导体材料技术壁垒高，细分市场被国外厂商垄断，国产替代空间广阔。 </w:t>
      </w:r>
      <w:r>
        <w:rPr>
          <w:rFonts w:hint="eastAsia" w:ascii="仿宋" w:hAnsi="仿宋" w:eastAsia="仿宋" w:cs="仿宋"/>
          <w:color w:val="333333"/>
          <w:sz w:val="28"/>
          <w:szCs w:val="28"/>
          <w:shd w:val="clear" w:color="auto" w:fill="FFFFFF"/>
        </w:rPr>
        <w:t xml:space="preserve">                 </w:t>
      </w:r>
    </w:p>
    <w:p>
      <w:pPr>
        <w:ind w:firstLine="420" w:firstLineChars="200"/>
        <w:jc w:val="right"/>
        <w:rPr>
          <w:rFonts w:ascii="微软雅黑" w:hAnsi="微软雅黑" w:eastAsia="微软雅黑" w:cs="Calibri"/>
          <w:color w:val="A6A6A6" w:themeColor="background1" w:themeShade="A6"/>
          <w:kern w:val="0"/>
          <w:szCs w:val="21"/>
        </w:rPr>
      </w:pPr>
      <w:r>
        <w:rPr>
          <w:rFonts w:hint="eastAsia" w:ascii="微软雅黑" w:hAnsi="微软雅黑" w:eastAsia="微软雅黑" w:cs="Calibri"/>
          <w:color w:val="A6A6A6" w:themeColor="background1" w:themeShade="A6"/>
          <w:szCs w:val="21"/>
        </w:rPr>
        <w:t>（</w:t>
      </w:r>
      <w:r>
        <w:rPr>
          <w:rFonts w:hint="eastAsia" w:ascii="微软雅黑" w:hAnsi="微软雅黑" w:eastAsia="微软雅黑" w:cs="Calibri"/>
          <w:color w:val="A6A6A6" w:themeColor="background1" w:themeShade="A6"/>
          <w:kern w:val="0"/>
          <w:szCs w:val="21"/>
        </w:rPr>
        <w:t>内容来源：东兴证券股份有限公司2023-11-29）</w:t>
      </w:r>
    </w:p>
    <w:p>
      <w:pPr>
        <w:spacing w:before="156" w:beforeLines="50" w:after="156" w:afterLines="50"/>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截至2023年11月30日,河南辖区共有</w:t>
      </w:r>
      <w:r>
        <w:rPr>
          <w:rFonts w:ascii="仿宋" w:hAnsi="仿宋" w:eastAsia="仿宋"/>
          <w:sz w:val="28"/>
        </w:rPr>
        <w:t>A股上市公司110</w:t>
      </w:r>
      <w:r>
        <w:rPr>
          <w:rFonts w:hint="eastAsia" w:ascii="仿宋" w:hAnsi="仿宋" w:eastAsia="仿宋"/>
          <w:sz w:val="28"/>
        </w:rPr>
        <w:t>家。位居全国第13位（按照协会口径统计）。其中上交所主板29家，科创板5家，深交所主板36家、创业板28家，北交所12家。</w:t>
      </w:r>
    </w:p>
    <w:p>
      <w:pPr>
        <w:spacing w:line="360" w:lineRule="auto"/>
        <w:ind w:firstLine="560" w:firstLineChars="200"/>
        <w:rPr>
          <w:rFonts w:ascii="仿宋" w:hAnsi="仿宋" w:eastAsia="仿宋"/>
          <w:sz w:val="28"/>
        </w:rPr>
      </w:pPr>
      <w:r>
        <w:rPr>
          <w:rFonts w:hint="eastAsia" w:ascii="仿宋" w:hAnsi="仿宋" w:eastAsia="仿宋"/>
          <w:sz w:val="28"/>
        </w:rPr>
        <w:t>截至2023年11月30日,河南辖区A股上市公司的总市值为13,668.30亿元，占</w:t>
      </w:r>
      <w:r>
        <w:rPr>
          <w:rFonts w:ascii="仿宋" w:hAnsi="仿宋" w:eastAsia="仿宋"/>
          <w:sz w:val="28"/>
        </w:rPr>
        <w:t>A股上市公司总市值的1.54%</w:t>
      </w:r>
      <w:r>
        <w:rPr>
          <w:rFonts w:hint="eastAsia" w:ascii="仿宋" w:hAnsi="仿宋" w:eastAsia="仿宋"/>
          <w:sz w:val="28"/>
        </w:rPr>
        <w:t>。2023年河南辖区上市公司再融资（含增发、配股）募集资金总额为63.09亿元。</w:t>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r>
        <w:rPr>
          <w:rFonts w:ascii="仿宋" w:hAnsi="仿宋" w:eastAsia="仿宋"/>
          <w:b/>
          <w:sz w:val="24"/>
        </w:rPr>
        <w:drawing>
          <wp:inline distT="0" distB="0" distL="0" distR="0">
            <wp:extent cx="4629150" cy="2295525"/>
            <wp:effectExtent l="4445" t="5080" r="14605" b="444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r>
        <w:rPr>
          <w:rFonts w:ascii="仿宋" w:hAnsi="仿宋" w:eastAsia="仿宋"/>
          <w:b/>
          <w:sz w:val="24"/>
        </w:rPr>
        <w:drawing>
          <wp:inline distT="0" distB="0" distL="0" distR="0">
            <wp:extent cx="4649470" cy="2343785"/>
            <wp:effectExtent l="4445" t="4445" r="13335"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r>
        <w:rPr>
          <w:rFonts w:ascii="仿宋" w:hAnsi="仿宋" w:eastAsia="仿宋"/>
          <w:b/>
          <w:sz w:val="24"/>
        </w:rPr>
        <w:drawing>
          <wp:inline distT="0" distB="0" distL="0" distR="0">
            <wp:extent cx="4773295" cy="2277110"/>
            <wp:effectExtent l="4445" t="4445" r="22860"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156" w:beforeLines="50" w:after="156" w:afterLines="50"/>
        <w:rPr>
          <w:rFonts w:ascii="仿宋" w:hAnsi="仿宋" w:eastAsia="仿宋"/>
          <w:b/>
          <w:sz w:val="28"/>
        </w:rPr>
      </w:pPr>
      <w:r>
        <w:rPr>
          <w:rFonts w:hint="eastAsia" w:ascii="仿宋" w:hAnsi="仿宋" w:eastAsia="仿宋"/>
          <w:b/>
          <w:sz w:val="28"/>
        </w:rPr>
        <w:t>四、河南辖区上市公司11月市场表现分析</w:t>
      </w:r>
    </w:p>
    <w:p>
      <w:pPr>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s="仿宋"/>
          <w:sz w:val="28"/>
          <w:szCs w:val="28"/>
        </w:rPr>
        <w:t>11月首个交易日，大盘全天震荡分化，沪指高开回落，创业板指探底回升。盘面上，汽车产业链个股展开反弹，超导概念股盘中拉升，传媒、游戏股开盘冲高，白酒股高开回落，跨境电商概念股震荡走强。11月10日，大盘全天震荡调整，三大指数均小幅下跌。盘面上，燃气股集体走强，医药商业概念股震荡走强，存储芯片概念股开盘冲高，煤炭、电力股尾盘异动。11月20日，大盘全天震荡反弹，三大指数均小幅上涨。北证50指数涨超3%，10只北交所个股涨超10%。盘面上，机器人概念股表现活跃，脑机接口概念股震荡走强，猪肉概念股迎来反弹，短剧概念股开盘冲高，卫星导航概念股尾盘拉升。此外，连板股表现强势，14只昨日连板个股(剔除ST)中11只涨停晋级。最后一个交易日，大盘全天震荡分化，三大指数涨跌不一。盘面上，消费股表现活跃，流感概念股午后拉升，算力概念股震荡反弹。截至收盘，沪指涨0.26%，深成指跌0.18%，创业板指涨0.24%。</w:t>
      </w:r>
      <w:r>
        <w:rPr>
          <w:rFonts w:ascii="仿宋" w:hAnsi="仿宋" w:eastAsia="仿宋"/>
          <w:color w:val="000000" w:themeColor="text1"/>
          <w:sz w:val="28"/>
          <w14:textFill>
            <w14:solidFill>
              <w14:schemeClr w14:val="tx1"/>
            </w14:solidFill>
          </w14:textFill>
        </w:rPr>
        <w:t>及至月末，上证综指上涨0.36%</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3,029.67</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下跌1.02%</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9,726.92</w:t>
      </w:r>
      <w:r>
        <w:rPr>
          <w:rFonts w:hint="eastAsia" w:ascii="仿宋" w:hAnsi="仿宋" w:eastAsia="仿宋"/>
          <w:color w:val="000000" w:themeColor="text1"/>
          <w:sz w:val="28"/>
          <w14:textFill>
            <w14:solidFill>
              <w14:schemeClr w14:val="tx1"/>
            </w14:solidFill>
          </w14:textFill>
        </w:rPr>
        <w:t>点；创业板指下跌1.87%，报收</w:t>
      </w:r>
      <w:r>
        <w:rPr>
          <w:rFonts w:ascii="仿宋" w:hAnsi="仿宋" w:eastAsia="仿宋"/>
          <w:color w:val="000000" w:themeColor="text1"/>
          <w:sz w:val="28"/>
          <w14:textFill>
            <w14:solidFill>
              <w14:schemeClr w14:val="tx1"/>
            </w14:solidFill>
          </w14:textFill>
        </w:rPr>
        <w:t>1,922.59</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2023年11月，河南</w:t>
      </w:r>
      <w:r>
        <w:rPr>
          <w:rFonts w:ascii="仿宋" w:hAnsi="仿宋" w:eastAsia="仿宋"/>
          <w:sz w:val="28"/>
        </w:rPr>
        <w:t>辖区</w:t>
      </w:r>
      <w:r>
        <w:rPr>
          <w:rFonts w:hint="eastAsia" w:ascii="仿宋" w:hAnsi="仿宋" w:eastAsia="仿宋"/>
          <w:sz w:val="28"/>
        </w:rPr>
        <w:t>涨幅排名前10位的股票中，材料占据4席，信息技术占据3席，日常消费、可选消费和工业各占据1席，涨幅最大的是驰诚股份，</w:t>
      </w:r>
      <w:r>
        <w:rPr>
          <w:rFonts w:ascii="仿宋" w:hAnsi="仿宋" w:eastAsia="仿宋"/>
          <w:sz w:val="28"/>
        </w:rPr>
        <w:t>上涨</w:t>
      </w:r>
      <w:r>
        <w:rPr>
          <w:rFonts w:hint="eastAsia" w:ascii="仿宋" w:hAnsi="仿宋" w:eastAsia="仿宋"/>
          <w:sz w:val="28"/>
        </w:rPr>
        <w:t>139.3%；其次是众诚科技，</w:t>
      </w:r>
      <w:r>
        <w:rPr>
          <w:rFonts w:ascii="仿宋" w:hAnsi="仿宋" w:eastAsia="仿宋"/>
          <w:sz w:val="28"/>
        </w:rPr>
        <w:t>上涨</w:t>
      </w:r>
      <w:r>
        <w:rPr>
          <w:rFonts w:hint="eastAsia" w:ascii="仿宋" w:hAnsi="仿宋" w:eastAsia="仿宋"/>
          <w:sz w:val="28"/>
        </w:rPr>
        <w:t>79.36%。</w:t>
      </w: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10201" w:type="dxa"/>
        <w:jc w:val="center"/>
        <w:tblLayout w:type="fixed"/>
        <w:tblCellMar>
          <w:top w:w="0" w:type="dxa"/>
          <w:left w:w="108" w:type="dxa"/>
          <w:bottom w:w="0" w:type="dxa"/>
          <w:right w:w="108" w:type="dxa"/>
        </w:tblCellMar>
      </w:tblPr>
      <w:tblGrid>
        <w:gridCol w:w="705"/>
        <w:gridCol w:w="1276"/>
        <w:gridCol w:w="1133"/>
        <w:gridCol w:w="1556"/>
        <w:gridCol w:w="1714"/>
        <w:gridCol w:w="1767"/>
        <w:gridCol w:w="2050"/>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（2023-1</w:t>
            </w:r>
            <w:r>
              <w:rPr>
                <w:rFonts w:hint="eastAsia" w:ascii="仿宋" w:hAnsi="仿宋" w:eastAsia="仿宋"/>
                <w:b/>
                <w:color w:val="000000"/>
                <w:szCs w:val="21"/>
              </w:rPr>
              <w:t>1</w:t>
            </w:r>
            <w:r>
              <w:rPr>
                <w:rFonts w:ascii="仿宋" w:hAnsi="仿宋" w:eastAsia="仿宋"/>
                <w:b/>
                <w:color w:val="000000"/>
                <w:szCs w:val="21"/>
              </w:rPr>
              <w:t>-3</w:t>
            </w:r>
            <w:r>
              <w:rPr>
                <w:rFonts w:hint="eastAsia" w:ascii="仿宋" w:hAnsi="仿宋" w:eastAsia="仿宋"/>
                <w:b/>
                <w:color w:val="000000"/>
                <w:szCs w:val="21"/>
              </w:rPr>
              <w:t>0</w:t>
            </w:r>
            <w:r>
              <w:rPr>
                <w:rFonts w:ascii="仿宋" w:hAnsi="仿宋" w:eastAsia="仿宋"/>
                <w:b/>
                <w:color w:val="000000"/>
                <w:szCs w:val="21"/>
              </w:rPr>
              <w:t>）</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834407.BJ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驰诚股份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139.30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12.30</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hint="eastAsia" w:ascii="仿宋" w:hAnsi="仿宋" w:eastAsia="仿宋"/>
                <w:color w:val="000000"/>
                <w:szCs w:val="21"/>
              </w:rPr>
              <w:t>-</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835207.BJ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众诚科技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79.36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8.95</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49.26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833580.BJ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科创新材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59.89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5.98</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40.05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872895.BJ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花溪科技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59.64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8.86</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hint="eastAsia" w:ascii="仿宋" w:hAnsi="仿宋" w:eastAsia="仿宋"/>
                <w:color w:val="000000"/>
                <w:szCs w:val="21"/>
              </w:rPr>
              <w:t>-</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838971.BJ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天马新材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58.43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10.90</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12.88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833454.BJ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同心传动</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53.17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7.49</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22.33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839725.BJ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惠丰钻石</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47.87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16.68</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-11.99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834415.BJ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恒拓开源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38.44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5.15</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26.54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831087.BJ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秋乐种业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35.44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8.79</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49.23 </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832175.BJ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东方碳素</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21.58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9.86</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hint="eastAsia" w:ascii="仿宋" w:hAnsi="仿宋" w:eastAsia="仿宋"/>
                <w:color w:val="000000"/>
                <w:szCs w:val="21"/>
              </w:rPr>
              <w:t>-</w:t>
            </w:r>
          </w:p>
        </w:tc>
        <w:tc>
          <w:tcPr>
            <w:tcW w:w="20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bl>
    <w:p>
      <w:pPr>
        <w:spacing w:before="156" w:beforeLines="50" w:after="156" w:afterLines="50"/>
        <w:ind w:firstLine="560" w:firstLineChars="200"/>
        <w:rPr>
          <w:rFonts w:ascii="仿宋" w:hAnsi="仿宋" w:eastAsia="仿宋"/>
          <w:sz w:val="28"/>
        </w:rPr>
      </w:pPr>
    </w:p>
    <w:p>
      <w:pPr>
        <w:spacing w:before="156" w:beforeLines="50" w:after="156" w:afterLines="50"/>
        <w:ind w:firstLine="560" w:firstLineChars="200"/>
        <w:rPr>
          <w:rFonts w:hint="eastAsia" w:ascii="仿宋" w:hAnsi="仿宋" w:eastAsia="仿宋"/>
          <w:sz w:val="28"/>
        </w:rPr>
      </w:pPr>
    </w:p>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材料占据4席，工业占据2席，日常消费、可选消费、金融和公用事业各占据1席，跌幅最大的为莲花健康，下跌15.89</w:t>
      </w:r>
      <w:r>
        <w:rPr>
          <w:rFonts w:ascii="仿宋" w:hAnsi="仿宋" w:eastAsia="仿宋"/>
          <w:sz w:val="28"/>
        </w:rPr>
        <w:t>%</w:t>
      </w:r>
      <w:r>
        <w:rPr>
          <w:rFonts w:hint="eastAsia" w:ascii="仿宋" w:hAnsi="仿宋" w:eastAsia="仿宋"/>
          <w:sz w:val="28"/>
        </w:rPr>
        <w:t>;其次为新强联，下跌11.07</w:t>
      </w:r>
      <w:r>
        <w:rPr>
          <w:rFonts w:ascii="仿宋" w:hAnsi="仿宋" w:eastAsia="仿宋"/>
          <w:sz w:val="28"/>
        </w:rPr>
        <w:t>%。</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（2023-1</w:t>
            </w:r>
            <w:r>
              <w:rPr>
                <w:rFonts w:hint="eastAsia" w:ascii="仿宋" w:hAnsi="仿宋" w:eastAsia="仿宋"/>
                <w:b/>
                <w:color w:val="000000"/>
                <w:szCs w:val="21"/>
              </w:rPr>
              <w:t>1</w:t>
            </w:r>
            <w:r>
              <w:rPr>
                <w:rFonts w:ascii="仿宋" w:hAnsi="仿宋" w:eastAsia="仿宋"/>
                <w:b/>
                <w:color w:val="000000"/>
                <w:szCs w:val="21"/>
              </w:rPr>
              <w:t>-3</w:t>
            </w:r>
            <w:r>
              <w:rPr>
                <w:rFonts w:hint="eastAsia" w:ascii="仿宋" w:hAnsi="仿宋" w:eastAsia="仿宋"/>
                <w:b/>
                <w:color w:val="000000"/>
                <w:szCs w:val="21"/>
              </w:rPr>
              <w:t>0</w:t>
            </w:r>
            <w:r>
              <w:rPr>
                <w:rFonts w:ascii="仿宋" w:hAnsi="仿宋" w:eastAsia="仿宋"/>
                <w:b/>
                <w:color w:val="000000"/>
                <w:szCs w:val="21"/>
              </w:rPr>
              <w:t>）</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600186.SH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莲花健康</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-15.89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5.98</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112.55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300850.SZ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新强联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-11.07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32.87</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-37.06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002536.SZ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飞龙股份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-8.25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14.01</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91.54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001896.SZ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豫能控股</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-7.63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4.48</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-14.26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公用事业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多氟多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-6.31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14.99</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-36.09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603993.SH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洛阳钼业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-5.96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5.21</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15.30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002601.SZ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龙佰集团</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-5.82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17.26</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-4.77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002423.SZ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中粮资本</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-5.29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6.80</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-3.50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金融</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688357.SH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建龙微纳</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-5.03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53.65</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-31.88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002857.SZ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三晖电气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-4.48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17.27</w:t>
            </w:r>
          </w:p>
        </w:tc>
        <w:tc>
          <w:tcPr>
            <w:tcW w:w="1767"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olor w:val="000000"/>
                <w:szCs w:val="21"/>
              </w:rPr>
            </w:pPr>
            <w:r>
              <w:rPr>
                <w:rFonts w:ascii="仿宋" w:hAnsi="仿宋" w:eastAsia="仿宋"/>
                <w:color w:val="000000"/>
                <w:szCs w:val="21"/>
              </w:rPr>
              <w:t xml:space="preserve">19.20 </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bl>
    <w:p>
      <w:pPr>
        <w:spacing w:before="156" w:beforeLines="50" w:after="156" w:afterLines="50"/>
        <w:rPr>
          <w:rFonts w:ascii="仿宋" w:hAnsi="仿宋" w:eastAsia="仿宋"/>
          <w:b/>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1</w:t>
      </w:r>
      <w:r>
        <w:rPr>
          <w:rFonts w:hint="eastAsia" w:ascii="仿宋" w:hAnsi="仿宋" w:eastAsia="仿宋"/>
          <w:b/>
          <w:sz w:val="28"/>
        </w:rPr>
        <w:t>1</w:t>
      </w:r>
      <w:r>
        <w:rPr>
          <w:rFonts w:ascii="仿宋" w:hAnsi="仿宋" w:eastAsia="仿宋"/>
          <w:b/>
          <w:sz w:val="28"/>
        </w:rPr>
        <w:t>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本月无IPO上市、获发批文及过会事宜。</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本月无再融资实施完成事项；无再融资预案披露事项。</w:t>
      </w:r>
    </w:p>
    <w:p>
      <w:pPr>
        <w:spacing w:before="156" w:beforeLines="50" w:after="156" w:afterLines="50"/>
        <w:jc w:val="center"/>
        <w:rPr>
          <w:rFonts w:ascii="仿宋" w:hAnsi="仿宋" w:eastAsia="仿宋"/>
          <w:b/>
          <w:sz w:val="24"/>
        </w:rPr>
      </w:pPr>
      <w:r>
        <w:rPr>
          <w:rFonts w:ascii="仿宋" w:hAnsi="仿宋" w:eastAsia="仿宋"/>
          <w:b/>
          <w:sz w:val="24"/>
        </w:rPr>
        <w:t>表3  对外投资事项</w:t>
      </w:r>
    </w:p>
    <w:tbl>
      <w:tblPr>
        <w:tblStyle w:val="9"/>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82"/>
        <w:gridCol w:w="1200"/>
        <w:gridCol w:w="1140"/>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2023-11-29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公司使用部分募集资金进行现金管理。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2023-11-24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301152.SZ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天力锂能</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近期使用部分闲置募集资金进行现金管理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2023-11-23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002406.SZ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远东传动</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2023年11月21日公司与中国银行许昌分行签订了&lt;&lt;中国银行挂钩型结构性存款销售协议书（机构客户）&gt;&gt;，公司使用闲置自有资金人民币10,000万元用于购买中国银行挂钩型结构性存款（机构客户）理财产品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2023-11-23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2023-11-20</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300845.SZ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捷安高科</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继续购买理财产品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2023-11-17</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003008.SZ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开普检测</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公司（含子公司）近日与国元证券股份有限公司签订协议，使用自有资金购买理财产品。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2023-11-16</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公司本次使用暂时闲置募集资金购买理财产品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2023-11-15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301152.SZ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天力锂能</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近期使用部分闲置募集资金进行现金管理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2023-11-15</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002406.SZ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远东传动</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11月13日公司与招商银行许昌分行签订了&lt;&lt;招商银行单位结构性存款协议&gt;&gt;，公司使用暂时闲置募集资金人民币12,000万元用于购买招商银行点金看跌两层区间97天结构性存款理财产品。2023年11月14日公司与招商银行许昌分行签订了&lt;&lt;招商银行单位结构性存款协议&gt;&gt;，公司使用暂时闲置募集资金人民币8,000万元用于购买招商银行点金看跌两层区间96天结构性存款理财产品。2023年11月14日公司与中国民生银行郑州分行签订了&lt;&lt;中国民生银行结构性存款产品合同（机构版）&gt;&gt;，公司使用暂时闲置募集资金人民币30,000万元用于购买民生银行聚赢利率-挂钩中债10年期国债到期收益率结构性存款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2023-11-09</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003008.SZ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开普检测</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公司（含子公司）近日与中国银行股份有限公司许昌许继大道支行、中国建设银行股份有限公司许昌分行、中国银河证券股份有限公司、国泰君安证券股份有限公司签订协议，使用自有资金购买理财产品。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2023-11-04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002179.SZ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中航光电</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近日，子公司中航光电（广东）有限公司（以下简称“广东公司”）向中国建设银行股份有限公司洛阳分行（以下简称“中国建设银行”）申购1笔结构性存款，金额11,000万元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12</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2023-11-03</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近日，公司（含下属全资子公司）使用部分暂时闲置募集资金进行了现金管理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13</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2023-11-01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002601.SZ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龙佰集团</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2023年三季报分红：10派3元 派息日2023-11-08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14</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2023-11-01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002601.SZ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龙佰集团</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2023年三季报分红：10派3元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15</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2023-11-01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002601.SZ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龙佰集团</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2023年三季报分红：10派3元 除权日2023-11-08 派息日2023-11-08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16</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2023-11-01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002601.SZ</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龙佰集团</w:t>
            </w:r>
          </w:p>
        </w:tc>
        <w:tc>
          <w:tcPr>
            <w:tcW w:w="58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2023年三季报分红方案：10派3元 股权登记日2023-11-07 除权日2023-11-08 派息日2023-11-08</w:t>
            </w:r>
          </w:p>
        </w:tc>
      </w:tr>
    </w:tbl>
    <w:p>
      <w:pPr>
        <w:spacing w:before="156" w:beforeLines="50" w:after="156" w:afterLines="50"/>
        <w:jc w:val="center"/>
        <w:rPr>
          <w:rFonts w:ascii="仿宋" w:hAnsi="仿宋" w:eastAsia="仿宋"/>
          <w:b/>
          <w:sz w:val="24"/>
        </w:rPr>
      </w:pPr>
      <w:r>
        <w:rPr>
          <w:rFonts w:ascii="仿宋" w:hAnsi="仿宋" w:eastAsia="仿宋"/>
          <w:b/>
          <w:sz w:val="24"/>
        </w:rPr>
        <w:t>表4　上市公司重大资产重组事项</w:t>
      </w:r>
    </w:p>
    <w:tbl>
      <w:tblPr>
        <w:tblStyle w:val="9"/>
        <w:tblW w:w="10601" w:type="dxa"/>
        <w:jc w:val="center"/>
        <w:tblLayout w:type="fixed"/>
        <w:tblCellMar>
          <w:top w:w="0" w:type="dxa"/>
          <w:left w:w="108" w:type="dxa"/>
          <w:bottom w:w="0" w:type="dxa"/>
          <w:right w:w="108" w:type="dxa"/>
        </w:tblCellMar>
      </w:tblPr>
      <w:tblGrid>
        <w:gridCol w:w="738"/>
        <w:gridCol w:w="1267"/>
        <w:gridCol w:w="1170"/>
        <w:gridCol w:w="1335"/>
        <w:gridCol w:w="1335"/>
        <w:gridCol w:w="1290"/>
        <w:gridCol w:w="1350"/>
        <w:gridCol w:w="2116"/>
      </w:tblGrid>
      <w:tr>
        <w:tblPrEx>
          <w:tblCellMar>
            <w:top w:w="0" w:type="dxa"/>
            <w:left w:w="108" w:type="dxa"/>
            <w:bottom w:w="0" w:type="dxa"/>
            <w:right w:w="108" w:type="dxa"/>
          </w:tblCellMar>
        </w:tblPrEx>
        <w:trPr>
          <w:trHeight w:val="270" w:hRule="atLeast"/>
          <w:jc w:val="center"/>
        </w:trPr>
        <w:tc>
          <w:tcPr>
            <w:tcW w:w="7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rPr>
            </w:pPr>
            <w:r>
              <w:rPr>
                <w:rFonts w:hint="eastAsia" w:ascii="仿宋" w:hAnsi="仿宋" w:eastAsia="仿宋"/>
                <w:b/>
              </w:rPr>
              <w:t>序号</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117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13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211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17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2023-11-24</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13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证监会核准</w:t>
            </w:r>
          </w:p>
        </w:tc>
        <w:tc>
          <w:tcPr>
            <w:tcW w:w="211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森霸传感收购格林通67%股权。</w:t>
            </w:r>
          </w:p>
        </w:tc>
      </w:tr>
    </w:tbl>
    <w:p>
      <w:pPr>
        <w:spacing w:before="156" w:beforeLines="50" w:after="120"/>
        <w:ind w:firstLine="562" w:firstLineChars="200"/>
        <w:rPr>
          <w:rFonts w:ascii="仿宋" w:hAnsi="仿宋" w:eastAsia="仿宋"/>
          <w:b/>
          <w:sz w:val="28"/>
          <w:szCs w:val="30"/>
        </w:rPr>
      </w:pPr>
      <w:r>
        <w:rPr>
          <w:rFonts w:ascii="仿宋" w:hAnsi="仿宋" w:eastAsia="仿宋"/>
          <w:b/>
          <w:sz w:val="28"/>
          <w:szCs w:val="30"/>
        </w:rPr>
        <w:t>3.业绩与分红</w:t>
      </w:r>
    </w:p>
    <w:p>
      <w:pPr>
        <w:spacing w:before="312" w:beforeLines="100" w:after="156" w:afterLines="50"/>
        <w:ind w:firstLine="560" w:firstLineChars="200"/>
        <w:rPr>
          <w:rFonts w:ascii="仿宋" w:hAnsi="仿宋" w:eastAsia="仿宋"/>
          <w:sz w:val="28"/>
        </w:rPr>
      </w:pPr>
      <w:r>
        <w:rPr>
          <w:rFonts w:hint="eastAsia" w:ascii="仿宋" w:hAnsi="仿宋" w:eastAsia="仿宋"/>
          <w:sz w:val="28"/>
        </w:rPr>
        <w:t>本月无分红派息事项；</w:t>
      </w:r>
      <w:r>
        <w:rPr>
          <w:rFonts w:ascii="仿宋" w:hAnsi="仿宋" w:eastAsia="仿宋"/>
          <w:sz w:val="28"/>
        </w:rPr>
        <w:t>本月辖区内披露业绩预告/快报</w:t>
      </w:r>
      <w:r>
        <w:rPr>
          <w:rFonts w:hint="eastAsia" w:ascii="仿宋" w:hAnsi="仿宋" w:eastAsia="仿宋"/>
          <w:sz w:val="28"/>
        </w:rPr>
        <w:t>的上市公司共1</w:t>
      </w:r>
      <w:r>
        <w:rPr>
          <w:rFonts w:ascii="仿宋" w:hAnsi="仿宋" w:eastAsia="仿宋"/>
          <w:sz w:val="28"/>
        </w:rPr>
        <w:t>家，其中，</w:t>
      </w:r>
      <w:r>
        <w:rPr>
          <w:rFonts w:hint="eastAsia" w:ascii="仿宋" w:hAnsi="仿宋" w:eastAsia="仿宋"/>
          <w:sz w:val="28"/>
        </w:rPr>
        <w:t>1家上市公司披露业绩预告：1家业绩预盈。</w:t>
      </w:r>
    </w:p>
    <w:p>
      <w:pPr>
        <w:spacing w:before="156" w:beforeLines="50" w:after="156" w:afterLines="50"/>
        <w:jc w:val="center"/>
        <w:rPr>
          <w:rFonts w:ascii="仿宋" w:hAnsi="仿宋" w:eastAsia="仿宋"/>
          <w:b/>
          <w:sz w:val="24"/>
        </w:rPr>
      </w:pPr>
      <w:r>
        <w:rPr>
          <w:rFonts w:ascii="仿宋" w:hAnsi="仿宋" w:eastAsia="仿宋"/>
          <w:b/>
          <w:sz w:val="24"/>
        </w:rPr>
        <w:t>表5　业绩预告/快报事项</w:t>
      </w:r>
    </w:p>
    <w:tbl>
      <w:tblPr>
        <w:tblStyle w:val="1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276"/>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center"/>
              <w:rPr>
                <w:rFonts w:ascii="仿宋" w:hAnsi="仿宋" w:eastAsia="仿宋"/>
                <w:kern w:val="0"/>
                <w:szCs w:val="21"/>
              </w:rPr>
            </w:pPr>
            <w:r>
              <w:rPr>
                <w:rFonts w:hint="eastAsia" w:ascii="仿宋" w:hAnsi="仿宋" w:eastAsia="仿宋" w:cs="宋体"/>
                <w:b/>
                <w:color w:val="000000"/>
                <w:kern w:val="0"/>
                <w:szCs w:val="21"/>
              </w:rPr>
              <w:t>序号</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134"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事件类型</w:t>
            </w:r>
          </w:p>
        </w:tc>
        <w:tc>
          <w:tcPr>
            <w:tcW w:w="4990"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2023-11-29</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002407.SZ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多氟多</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4990"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第1次2023年年报业绩预告，公司业绩：预减。 预测业绩：净利润约56,000.00万元~62,000.00万元。较去年同期净利润194,803.86万元，变化约为-71.25%~-68.17% 。</w:t>
            </w:r>
          </w:p>
        </w:tc>
      </w:tr>
    </w:tbl>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ind w:firstLine="482" w:firstLineChars="200"/>
        <w:jc w:val="center"/>
        <w:rPr>
          <w:rFonts w:ascii="仿宋" w:hAnsi="仿宋" w:eastAsia="仿宋"/>
          <w:b/>
          <w:sz w:val="24"/>
          <w:szCs w:val="30"/>
        </w:rPr>
      </w:pPr>
      <w:r>
        <w:rPr>
          <w:rFonts w:ascii="仿宋" w:hAnsi="仿宋" w:eastAsia="仿宋"/>
          <w:b/>
          <w:sz w:val="24"/>
          <w:szCs w:val="30"/>
        </w:rPr>
        <w:t>表6　股东增/减持公司股票事项</w:t>
      </w:r>
    </w:p>
    <w:tbl>
      <w:tblPr>
        <w:tblStyle w:val="9"/>
        <w:tblW w:w="9946" w:type="dxa"/>
        <w:jc w:val="center"/>
        <w:tblLayout w:type="fixed"/>
        <w:tblCellMar>
          <w:top w:w="0" w:type="dxa"/>
          <w:left w:w="108" w:type="dxa"/>
          <w:bottom w:w="0" w:type="dxa"/>
          <w:right w:w="108" w:type="dxa"/>
        </w:tblCellMar>
      </w:tblPr>
      <w:tblGrid>
        <w:gridCol w:w="719"/>
        <w:gridCol w:w="1455"/>
        <w:gridCol w:w="1200"/>
        <w:gridCol w:w="1395"/>
        <w:gridCol w:w="1785"/>
        <w:gridCol w:w="3392"/>
      </w:tblGrid>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339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2023-11-14</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002087.SZ</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*ST新纺</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33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2023-05-08至2023-11-14，新野县财政局增持2177.07万股公司股份，平均增持价格为2.2968CNY。截止2023-11-14，持有股份数量为2.45亿股流通股份，占流通股份总数比例为30.01%。</w:t>
            </w: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2023-11-07</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600020.SH</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中原高速</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33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2023-06-05至2023-11-07，长城人寿保险股份有限公司增持2247.38万股公司股份。截止2023-11-09，持有股份数量为1.35亿股流通股份，占流通股份总数比例为6%。</w:t>
            </w: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2023-11-21</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600285.SH</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羚锐制药</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3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2023-09-01至2023-11-21，新县鑫源贸易有限公司减持0.06万股公司股份。截止2023-11-23，持有股份数量为0.0万股。</w:t>
            </w: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2023-11-14</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3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2023-11-13至2023-11-14，河南中睿博远投资中心(有限合伙)减持34.1万股公司股份。截止2023-11-18，持有股份数量为1049.12万股，占流通股份总数比例为12.27%。</w:t>
            </w: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2023-11-10</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3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2023-08-30至2023-11-10，河南中睿博远投资中心(有限合伙)减持136万股公司股份：其中通过大宗交易系统减持34万股公司股份。截止2023-11-11，持有股份数量为1083.22万股，占流通股份总数比例为12.67%。</w:t>
            </w:r>
          </w:p>
        </w:tc>
      </w:tr>
      <w:tr>
        <w:tblPrEx>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2023-11-08</w:t>
            </w: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831087.BJ</w:t>
            </w: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秋乐种业</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39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2023-08-18至2023-11-08，河南农投乡村振兴投资有限公司减持50万股公司股份，平均减持价格为6.9153CNY</w:t>
            </w:r>
          </w:p>
        </w:tc>
      </w:tr>
    </w:tbl>
    <w:p>
      <w:pPr>
        <w:spacing w:after="156" w:afterLines="50"/>
        <w:ind w:firstLine="562" w:firstLineChars="200"/>
        <w:rPr>
          <w:rFonts w:ascii="仿宋" w:hAnsi="仿宋" w:eastAsia="仿宋"/>
          <w:b/>
          <w:sz w:val="28"/>
          <w:szCs w:val="28"/>
        </w:rPr>
      </w:pPr>
    </w:p>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表7　11月董事长、董秘变动情况</w:t>
      </w:r>
    </w:p>
    <w:tbl>
      <w:tblPr>
        <w:tblStyle w:val="1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276"/>
        <w:gridCol w:w="1134"/>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701" w:type="dxa"/>
          </w:tcPr>
          <w:p>
            <w:pPr>
              <w:jc w:val="center"/>
              <w:rPr>
                <w:rFonts w:ascii="仿宋" w:hAnsi="仿宋" w:eastAsia="仿宋"/>
                <w:b/>
                <w:szCs w:val="21"/>
              </w:rPr>
            </w:pPr>
            <w:r>
              <w:rPr>
                <w:rFonts w:hint="eastAsia" w:ascii="仿宋" w:hAnsi="仿宋" w:eastAsia="仿宋"/>
                <w:b/>
                <w:szCs w:val="21"/>
              </w:rPr>
              <w:t>披露日期</w:t>
            </w:r>
          </w:p>
        </w:tc>
        <w:tc>
          <w:tcPr>
            <w:tcW w:w="1276" w:type="dxa"/>
          </w:tcPr>
          <w:p>
            <w:pPr>
              <w:jc w:val="center"/>
              <w:rPr>
                <w:rFonts w:ascii="仿宋" w:hAnsi="仿宋" w:eastAsia="仿宋"/>
                <w:b/>
                <w:szCs w:val="21"/>
              </w:rPr>
            </w:pPr>
            <w:r>
              <w:rPr>
                <w:rFonts w:hint="eastAsia" w:ascii="仿宋" w:hAnsi="仿宋" w:eastAsia="仿宋"/>
                <w:b/>
                <w:szCs w:val="21"/>
              </w:rPr>
              <w:t>证券代码</w:t>
            </w:r>
          </w:p>
        </w:tc>
        <w:tc>
          <w:tcPr>
            <w:tcW w:w="1134" w:type="dxa"/>
          </w:tcPr>
          <w:p>
            <w:pPr>
              <w:jc w:val="center"/>
              <w:rPr>
                <w:rFonts w:ascii="仿宋" w:hAnsi="仿宋" w:eastAsia="仿宋"/>
                <w:b/>
                <w:szCs w:val="21"/>
              </w:rPr>
            </w:pPr>
            <w:r>
              <w:rPr>
                <w:rFonts w:hint="eastAsia" w:ascii="仿宋" w:hAnsi="仿宋" w:eastAsia="仿宋"/>
                <w:b/>
                <w:szCs w:val="21"/>
              </w:rPr>
              <w:t>证券名称</w:t>
            </w:r>
          </w:p>
        </w:tc>
        <w:tc>
          <w:tcPr>
            <w:tcW w:w="3723"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1701" w:type="dxa"/>
            <w:vAlign w:val="center"/>
          </w:tcPr>
          <w:p>
            <w:pPr>
              <w:jc w:val="center"/>
              <w:rPr>
                <w:rFonts w:ascii="仿宋" w:hAnsi="仿宋" w:eastAsia="仿宋"/>
                <w:szCs w:val="21"/>
              </w:rPr>
            </w:pPr>
            <w:r>
              <w:rPr>
                <w:rFonts w:hint="eastAsia" w:ascii="仿宋" w:hAnsi="仿宋" w:eastAsia="仿宋"/>
                <w:szCs w:val="21"/>
              </w:rPr>
              <w:t>2023-11-16</w:t>
            </w:r>
          </w:p>
        </w:tc>
        <w:tc>
          <w:tcPr>
            <w:tcW w:w="1276" w:type="dxa"/>
            <w:vAlign w:val="center"/>
          </w:tcPr>
          <w:p>
            <w:pPr>
              <w:jc w:val="center"/>
              <w:rPr>
                <w:rFonts w:ascii="仿宋" w:hAnsi="仿宋" w:eastAsia="仿宋"/>
                <w:szCs w:val="21"/>
              </w:rPr>
            </w:pPr>
            <w:r>
              <w:rPr>
                <w:rFonts w:hint="eastAsia" w:ascii="仿宋" w:hAnsi="仿宋" w:eastAsia="仿宋"/>
                <w:szCs w:val="21"/>
              </w:rPr>
              <w:t>605368.SH</w:t>
            </w:r>
          </w:p>
        </w:tc>
        <w:tc>
          <w:tcPr>
            <w:tcW w:w="1134" w:type="dxa"/>
            <w:vAlign w:val="center"/>
          </w:tcPr>
          <w:p>
            <w:pPr>
              <w:jc w:val="center"/>
              <w:rPr>
                <w:rFonts w:ascii="仿宋" w:hAnsi="仿宋" w:eastAsia="仿宋"/>
                <w:szCs w:val="21"/>
              </w:rPr>
            </w:pPr>
            <w:r>
              <w:rPr>
                <w:rFonts w:hint="eastAsia" w:ascii="仿宋" w:hAnsi="仿宋" w:eastAsia="仿宋"/>
                <w:szCs w:val="21"/>
              </w:rPr>
              <w:t>蓝天燃气</w:t>
            </w:r>
          </w:p>
        </w:tc>
        <w:tc>
          <w:tcPr>
            <w:tcW w:w="3723" w:type="dxa"/>
            <w:vAlign w:val="center"/>
          </w:tcPr>
          <w:p>
            <w:pPr>
              <w:jc w:val="center"/>
              <w:rPr>
                <w:rFonts w:ascii="仿宋" w:hAnsi="仿宋" w:eastAsia="仿宋"/>
                <w:szCs w:val="21"/>
              </w:rPr>
            </w:pPr>
            <w:r>
              <w:rPr>
                <w:rFonts w:hint="eastAsia" w:ascii="仿宋" w:hAnsi="仿宋" w:eastAsia="仿宋"/>
                <w:szCs w:val="21"/>
              </w:rPr>
              <w:t>董事长李国喜离任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4</w:t>
            </w:r>
          </w:p>
        </w:tc>
        <w:tc>
          <w:tcPr>
            <w:tcW w:w="1701" w:type="dxa"/>
            <w:vAlign w:val="center"/>
          </w:tcPr>
          <w:p>
            <w:pPr>
              <w:jc w:val="center"/>
              <w:rPr>
                <w:rFonts w:ascii="仿宋" w:hAnsi="仿宋" w:eastAsia="仿宋"/>
                <w:szCs w:val="21"/>
              </w:rPr>
            </w:pPr>
            <w:r>
              <w:rPr>
                <w:rFonts w:hint="eastAsia" w:ascii="仿宋" w:hAnsi="仿宋" w:eastAsia="仿宋"/>
                <w:szCs w:val="21"/>
              </w:rPr>
              <w:t>2023-11-09</w:t>
            </w:r>
          </w:p>
        </w:tc>
        <w:tc>
          <w:tcPr>
            <w:tcW w:w="1276" w:type="dxa"/>
            <w:vAlign w:val="center"/>
          </w:tcPr>
          <w:p>
            <w:pPr>
              <w:jc w:val="center"/>
              <w:rPr>
                <w:rFonts w:ascii="仿宋" w:hAnsi="仿宋" w:eastAsia="仿宋"/>
                <w:szCs w:val="21"/>
              </w:rPr>
            </w:pPr>
            <w:r>
              <w:rPr>
                <w:rFonts w:hint="eastAsia" w:ascii="仿宋" w:hAnsi="仿宋" w:eastAsia="仿宋"/>
                <w:szCs w:val="21"/>
              </w:rPr>
              <w:t>002431.SZ</w:t>
            </w:r>
          </w:p>
        </w:tc>
        <w:tc>
          <w:tcPr>
            <w:tcW w:w="1134" w:type="dxa"/>
            <w:vAlign w:val="center"/>
          </w:tcPr>
          <w:p>
            <w:pPr>
              <w:jc w:val="center"/>
              <w:rPr>
                <w:rFonts w:ascii="仿宋" w:hAnsi="仿宋" w:eastAsia="仿宋"/>
                <w:szCs w:val="21"/>
              </w:rPr>
            </w:pPr>
            <w:r>
              <w:rPr>
                <w:rFonts w:hint="eastAsia" w:ascii="仿宋" w:hAnsi="仿宋" w:eastAsia="仿宋"/>
                <w:szCs w:val="21"/>
              </w:rPr>
              <w:t>棕榈股份</w:t>
            </w:r>
          </w:p>
        </w:tc>
        <w:tc>
          <w:tcPr>
            <w:tcW w:w="3723" w:type="dxa"/>
            <w:vAlign w:val="center"/>
          </w:tcPr>
          <w:p>
            <w:pPr>
              <w:jc w:val="center"/>
              <w:rPr>
                <w:rFonts w:ascii="仿宋" w:hAnsi="仿宋" w:eastAsia="仿宋"/>
                <w:szCs w:val="21"/>
              </w:rPr>
            </w:pPr>
            <w:r>
              <w:rPr>
                <w:rFonts w:hint="eastAsia" w:ascii="仿宋" w:hAnsi="仿宋" w:eastAsia="仿宋"/>
                <w:szCs w:val="21"/>
              </w:rPr>
              <w:t>董事会秘书陈思思离任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701" w:type="dxa"/>
            <w:vAlign w:val="center"/>
          </w:tcPr>
          <w:p>
            <w:pPr>
              <w:jc w:val="center"/>
              <w:rPr>
                <w:rFonts w:ascii="仿宋" w:hAnsi="仿宋" w:eastAsia="仿宋"/>
                <w:szCs w:val="21"/>
              </w:rPr>
            </w:pPr>
            <w:r>
              <w:rPr>
                <w:rFonts w:hint="eastAsia" w:ascii="仿宋" w:hAnsi="仿宋" w:eastAsia="仿宋"/>
                <w:szCs w:val="21"/>
              </w:rPr>
              <w:t>2023-11-09</w:t>
            </w:r>
          </w:p>
        </w:tc>
        <w:tc>
          <w:tcPr>
            <w:tcW w:w="1276" w:type="dxa"/>
            <w:vAlign w:val="center"/>
          </w:tcPr>
          <w:p>
            <w:pPr>
              <w:jc w:val="center"/>
              <w:rPr>
                <w:rFonts w:ascii="仿宋" w:hAnsi="仿宋" w:eastAsia="仿宋"/>
                <w:szCs w:val="21"/>
              </w:rPr>
            </w:pPr>
            <w:r>
              <w:rPr>
                <w:rFonts w:hint="eastAsia" w:ascii="仿宋" w:hAnsi="仿宋" w:eastAsia="仿宋"/>
                <w:szCs w:val="21"/>
              </w:rPr>
              <w:t>002431.SZ</w:t>
            </w:r>
          </w:p>
        </w:tc>
        <w:tc>
          <w:tcPr>
            <w:tcW w:w="1134" w:type="dxa"/>
            <w:vAlign w:val="center"/>
          </w:tcPr>
          <w:p>
            <w:pPr>
              <w:jc w:val="center"/>
              <w:rPr>
                <w:rFonts w:ascii="仿宋" w:hAnsi="仿宋" w:eastAsia="仿宋"/>
                <w:szCs w:val="21"/>
              </w:rPr>
            </w:pPr>
            <w:r>
              <w:rPr>
                <w:rFonts w:hint="eastAsia" w:ascii="仿宋" w:hAnsi="仿宋" w:eastAsia="仿宋"/>
                <w:szCs w:val="21"/>
              </w:rPr>
              <w:t>棕榈股份</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新聘董事会秘书冯玉兰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hint="eastAsia" w:ascii="仿宋" w:hAnsi="仿宋" w:eastAsia="仿宋"/>
                <w:szCs w:val="21"/>
              </w:rPr>
              <w:t>6</w:t>
            </w:r>
          </w:p>
        </w:tc>
        <w:tc>
          <w:tcPr>
            <w:tcW w:w="1701" w:type="dxa"/>
            <w:vAlign w:val="center"/>
          </w:tcPr>
          <w:p>
            <w:pPr>
              <w:jc w:val="center"/>
              <w:rPr>
                <w:rFonts w:ascii="仿宋" w:hAnsi="仿宋" w:eastAsia="仿宋"/>
                <w:szCs w:val="21"/>
              </w:rPr>
            </w:pPr>
            <w:r>
              <w:rPr>
                <w:rFonts w:hint="eastAsia" w:ascii="仿宋" w:hAnsi="仿宋" w:eastAsia="仿宋"/>
                <w:szCs w:val="21"/>
              </w:rPr>
              <w:t>2023-11-02</w:t>
            </w:r>
          </w:p>
        </w:tc>
        <w:tc>
          <w:tcPr>
            <w:tcW w:w="1276" w:type="dxa"/>
            <w:vAlign w:val="center"/>
          </w:tcPr>
          <w:p>
            <w:pPr>
              <w:jc w:val="center"/>
              <w:rPr>
                <w:rFonts w:ascii="仿宋" w:hAnsi="仿宋" w:eastAsia="仿宋"/>
                <w:szCs w:val="21"/>
              </w:rPr>
            </w:pPr>
            <w:r>
              <w:rPr>
                <w:rFonts w:hint="eastAsia" w:ascii="仿宋" w:hAnsi="仿宋" w:eastAsia="仿宋"/>
                <w:szCs w:val="21"/>
              </w:rPr>
              <w:t>000612.SZ</w:t>
            </w:r>
          </w:p>
        </w:tc>
        <w:tc>
          <w:tcPr>
            <w:tcW w:w="1134" w:type="dxa"/>
            <w:vAlign w:val="center"/>
          </w:tcPr>
          <w:p>
            <w:pPr>
              <w:jc w:val="center"/>
              <w:rPr>
                <w:rFonts w:ascii="仿宋" w:hAnsi="仿宋" w:eastAsia="仿宋"/>
                <w:szCs w:val="21"/>
              </w:rPr>
            </w:pPr>
            <w:r>
              <w:rPr>
                <w:rFonts w:hint="eastAsia" w:ascii="仿宋" w:hAnsi="仿宋" w:eastAsia="仿宋"/>
                <w:szCs w:val="21"/>
              </w:rPr>
              <w:t>焦作万方</w:t>
            </w:r>
          </w:p>
        </w:tc>
        <w:tc>
          <w:tcPr>
            <w:tcW w:w="3723" w:type="dxa"/>
            <w:vAlign w:val="center"/>
          </w:tcPr>
          <w:p>
            <w:pPr>
              <w:jc w:val="center"/>
              <w:rPr>
                <w:rFonts w:ascii="仿宋" w:hAnsi="仿宋" w:eastAsia="仿宋"/>
                <w:szCs w:val="21"/>
              </w:rPr>
            </w:pPr>
            <w:r>
              <w:rPr>
                <w:rFonts w:hint="eastAsia" w:ascii="仿宋" w:hAnsi="仿宋" w:eastAsia="仿宋"/>
                <w:szCs w:val="21"/>
              </w:rPr>
              <w:t>董事长霍斌离任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表8　重大项目情况表</w:t>
      </w:r>
    </w:p>
    <w:tbl>
      <w:tblPr>
        <w:tblStyle w:val="9"/>
        <w:tblW w:w="9708" w:type="dxa"/>
        <w:jc w:val="center"/>
        <w:tblLayout w:type="fixed"/>
        <w:tblCellMar>
          <w:top w:w="0" w:type="dxa"/>
          <w:left w:w="108" w:type="dxa"/>
          <w:bottom w:w="0" w:type="dxa"/>
          <w:right w:w="108" w:type="dxa"/>
        </w:tblCellMar>
      </w:tblPr>
      <w:tblGrid>
        <w:gridCol w:w="669"/>
        <w:gridCol w:w="1245"/>
        <w:gridCol w:w="1065"/>
        <w:gridCol w:w="1155"/>
        <w:gridCol w:w="1335"/>
        <w:gridCol w:w="4239"/>
      </w:tblGrid>
      <w:tr>
        <w:tblPrEx>
          <w:tblCellMar>
            <w:top w:w="0" w:type="dxa"/>
            <w:left w:w="108" w:type="dxa"/>
            <w:bottom w:w="0" w:type="dxa"/>
            <w:right w:w="108" w:type="dxa"/>
          </w:tblCellMar>
        </w:tblPrEx>
        <w:trPr>
          <w:trHeight w:val="270" w:hRule="atLeast"/>
          <w:jc w:val="center"/>
        </w:trPr>
        <w:tc>
          <w:tcPr>
            <w:tcW w:w="66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423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2023-11-28</w:t>
            </w:r>
          </w:p>
        </w:tc>
        <w:tc>
          <w:tcPr>
            <w:tcW w:w="423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棕榈生态城镇发展股份有限公司(以下简称“公司”)于今日在“全国公共资源交易平台”查询获悉,公司被确认为郑州航空港区豫泰建设发展有限公司“两院一中心”一期项目施工总承包的中标人。</w:t>
            </w:r>
          </w:p>
        </w:tc>
      </w:tr>
      <w:tr>
        <w:tblPrEx>
          <w:tblCellMar>
            <w:top w:w="0" w:type="dxa"/>
            <w:left w:w="108" w:type="dxa"/>
            <w:bottom w:w="0" w:type="dxa"/>
            <w:right w:w="108" w:type="dxa"/>
          </w:tblCellMar>
        </w:tblPrEx>
        <w:trPr>
          <w:trHeight w:val="27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签订重大合同</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2023-11-16</w:t>
            </w:r>
          </w:p>
        </w:tc>
        <w:tc>
          <w:tcPr>
            <w:tcW w:w="423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控股子公司河南沃克曼建设工程有限公司与中国电子工程设计院股份有限公司组成的联合体中标了城发绿环塑业（河北）有限公司高分子材料深加工项目EPC工程总承包项目，现沃克曼作为联合体代表拟与北京新易资源科技有限公司的控股子公司城发绿环塑业（河北）有限公司签订“城发绿环塑业（河北）有限公司高分子材料深加工项目EPC工程总承包合同”，合同总金额：含税价人民币17,480.721550万元。</w:t>
            </w:r>
          </w:p>
        </w:tc>
      </w:tr>
      <w:tr>
        <w:tblPrEx>
          <w:tblCellMar>
            <w:top w:w="0" w:type="dxa"/>
            <w:left w:w="108" w:type="dxa"/>
            <w:bottom w:w="0" w:type="dxa"/>
            <w:right w:w="108" w:type="dxa"/>
          </w:tblCellMar>
        </w:tblPrEx>
        <w:trPr>
          <w:trHeight w:val="27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2023-11-11</w:t>
            </w:r>
          </w:p>
        </w:tc>
        <w:tc>
          <w:tcPr>
            <w:tcW w:w="423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城发环境股份有限公司(以下简称“公司”或“城发环境”)全资子公司城发城市服务科技(河南)有限公司(以下简称“城发城服公司”)于近期收到《中标通知书》,确定城发城服公司为“荥阳市区环卫清扫保洁及园林绿化管养服务项目(四标段)”(项目编号:HNDX-2023-0901)中标人,中标成交价为人民币18,100,000.00 元(大写:壹仟捌佰壹拾万元整)。</w:t>
            </w:r>
          </w:p>
        </w:tc>
      </w:tr>
      <w:tr>
        <w:tblPrEx>
          <w:tblCellMar>
            <w:top w:w="0" w:type="dxa"/>
            <w:left w:w="108" w:type="dxa"/>
            <w:bottom w:w="0" w:type="dxa"/>
            <w:right w:w="108" w:type="dxa"/>
          </w:tblCellMar>
        </w:tblPrEx>
        <w:trPr>
          <w:trHeight w:val="27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600312.SH</w:t>
            </w:r>
          </w:p>
        </w:tc>
        <w:tc>
          <w:tcPr>
            <w:tcW w:w="106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平高电气</w:t>
            </w:r>
          </w:p>
        </w:tc>
        <w:tc>
          <w:tcPr>
            <w:tcW w:w="1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3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2023-11-10</w:t>
            </w:r>
          </w:p>
        </w:tc>
        <w:tc>
          <w:tcPr>
            <w:tcW w:w="423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日前,国家电网有限公司电子商务平台(http://ecp.sgcc.com.cn)发布了“国家电网有限公司 2023 年第八十三批采购(输变电项目第五次变电设备(含电缆)招标采购)中标公告”。</w:t>
            </w:r>
          </w:p>
        </w:tc>
      </w:tr>
    </w:tbl>
    <w:p>
      <w:pPr>
        <w:spacing w:before="156" w:beforeLines="50" w:after="156" w:afterLines="50"/>
        <w:rPr>
          <w:rFonts w:ascii="仿宋" w:hAnsi="仿宋" w:eastAsia="仿宋"/>
          <w:b/>
          <w:sz w:val="28"/>
        </w:rPr>
      </w:pPr>
    </w:p>
    <w:p>
      <w:pPr>
        <w:spacing w:before="156" w:beforeLines="50" w:after="156" w:afterLines="50"/>
        <w:rPr>
          <w:rFonts w:ascii="楷体" w:hAnsi="楷体" w:eastAsia="楷体" w:cs="Calibri"/>
          <w:b/>
          <w:sz w:val="28"/>
        </w:rPr>
      </w:pPr>
      <w:r>
        <w:rPr>
          <w:rFonts w:hint="eastAsia" w:ascii="仿宋" w:hAnsi="仿宋" w:eastAsia="仿宋"/>
          <w:b/>
          <w:sz w:val="28"/>
        </w:rPr>
        <w:t>六、上市公司十一月违规案例精选</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1</w:t>
      </w:r>
      <w:r>
        <w:rPr>
          <w:rFonts w:ascii="仿宋" w:hAnsi="仿宋" w:eastAsia="仿宋" w:cs="仿宋"/>
          <w:b/>
          <w:color w:val="000000"/>
          <w:sz w:val="28"/>
          <w:szCs w:val="28"/>
        </w:rPr>
        <w:t>.</w:t>
      </w:r>
      <w:r>
        <w:rPr>
          <w:rFonts w:hint="eastAsia" w:ascii="仿宋" w:hAnsi="仿宋" w:eastAsia="仿宋" w:cs="仿宋"/>
          <w:b/>
          <w:color w:val="000000"/>
          <w:sz w:val="28"/>
          <w:szCs w:val="28"/>
        </w:rPr>
        <w:t>控股股东增持，别光顾着买股票，别忘了权益变动！</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经查明，截至2023年5月15日，沪主板某上市公司控股股东SRTZ持有公司股份数量为74,628,057股，占公司总股本的11.79%。</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2023年5月16日，公司披露《关于控股股东增持计划的公告》称，SRTZ计划自2023年5月16日起6个月内，通过集中竞价交易或大宗交易方式增持公司股份。2023年5月16日，SSRTZ通过大宗交易增持18,618,600股，占公司总股本的2.94%。SRTZ在所持公司股份增加比例达到百分之一时，未及时予以公告，直至2023年11月3日，公司披露《关于控股股东增持计划实施结果及致歉公告》称，SRTZ分别于2023 年5月16日、11月2日通过大宗交易及集中竞价交易方式累计增持 18,678,600股，占公司总股本的2.95%，增持计划实施完毕。</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上海证券交易所认为控股股东SRTZ的上述行为违反了</w:t>
      </w:r>
      <w:r>
        <w:rPr>
          <w:rFonts w:hint="eastAsia" w:ascii="仿宋" w:hAnsi="仿宋" w:eastAsia="仿宋" w:cs="仿宋"/>
          <w:color w:val="000000"/>
          <w:sz w:val="28"/>
          <w:szCs w:val="28"/>
          <w:u w:val="single"/>
        </w:rPr>
        <w:t>《上海证券交易所股票上市规则（2023年修订）》</w:t>
      </w:r>
      <w:r>
        <w:rPr>
          <w:rFonts w:hint="eastAsia" w:ascii="仿宋" w:hAnsi="仿宋" w:eastAsia="仿宋" w:cs="仿宋"/>
          <w:color w:val="000000"/>
          <w:sz w:val="28"/>
          <w:szCs w:val="28"/>
        </w:rPr>
        <w:t>第2.1.1条、第2.1.3条、第2.1.6条、第3.4.2条等有关规定，对控股股东予以监管警示</w:t>
      </w:r>
    </w:p>
    <w:p>
      <w:pPr>
        <w:spacing w:line="360" w:lineRule="auto"/>
        <w:ind w:firstLine="562" w:firstLineChars="200"/>
        <w:rPr>
          <w:rFonts w:ascii="华文楷体" w:hAnsi="华文楷体" w:eastAsia="华文楷体"/>
          <w:b/>
          <w:bCs/>
          <w:color w:val="000000"/>
          <w:sz w:val="24"/>
          <w:shd w:val="clear" w:color="auto" w:fill="FFFFFF"/>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u w:val="single"/>
        </w:rPr>
        <w:t>《上海证券交易所股票上市规则（2023年8月修订）》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3.4.2　在一个上市公司中拥有权益的股份达到该公司已发行的有表决权股份的5%以上，或者其后拥有权益的股份变动涉及《证券法》《上市公司收购管理办法》等规定的收购或者股份权益变动情形的，该股东、实际控制人及其他相关信息披露义务人应当按照《证券法》《上市公司收购管理办法》等规定通知上市公司，并履行公告义务。</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《上市公司收购管理办法（2020年修订）》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第十三条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前述投资者及其一致行动人拥有权益的股份达到一个上市公司已发行股份的5%后，其拥有权益的股份占该上市公司已发行股份的比例每增加或者减少1%，应当在该事实发生的次日通知该上市公司，并予公告。</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上市公司控股股东持股比例变动情况，属于应当披露的信息，控股股东在二级市场通过集中竞价交易方式实施增持计划时，应密切关注是否触及权益变动情形，如有应及时履行信息披露义务。</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w:t>
      </w:r>
      <w:r>
        <w:rPr>
          <w:rFonts w:hint="eastAsia" w:ascii="仿宋" w:hAnsi="仿宋" w:eastAsia="仿宋" w:cs="仿宋"/>
          <w:b/>
          <w:color w:val="000000"/>
          <w:sz w:val="28"/>
          <w:szCs w:val="28"/>
        </w:rPr>
        <w:t>募集资金理财不规范，上市公司收警示函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浙江证监局在现场检查中发现，创业板某上市公司存在以下问题：</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一、募集资金与自有资金混同购买理财产品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2021年11月16日，公司与浙江临安农村商业银行股份有限公司钱王支行签订《乐赢宝对公存款产品协议书》，使用募集资金通过普通账户购买活期存款，产品期限为36个月，随存随取。该账户此前已有自有资金购买理财产品，公司活期存款账户中募集资金与自有资金混同情况持续至2022年3月。</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二、募集资金理财协议签署先于董事会审议</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2021年9月8日，公司与中国建设银行股份有限公司杭州临安支行签署《单位结构性存款客户协议书》，金额1亿元。直至2021年9月10日，公司才召开董事会审议通过相关议案。</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浙江证监局认为上市公司的上述行为违反了</w:t>
      </w:r>
      <w:r>
        <w:rPr>
          <w:rFonts w:hint="eastAsia" w:ascii="仿宋" w:hAnsi="仿宋" w:eastAsia="仿宋" w:cs="仿宋"/>
          <w:color w:val="000000"/>
          <w:sz w:val="28"/>
          <w:szCs w:val="28"/>
          <w:u w:val="single"/>
        </w:rPr>
        <w:t>《上市公司信息披露管理办法》</w:t>
      </w:r>
      <w:r>
        <w:rPr>
          <w:rFonts w:hint="eastAsia" w:ascii="仿宋" w:hAnsi="仿宋" w:eastAsia="仿宋" w:cs="仿宋"/>
          <w:color w:val="000000"/>
          <w:sz w:val="28"/>
          <w:szCs w:val="28"/>
        </w:rPr>
        <w:t>（证监会令第182号）第三条，</w:t>
      </w:r>
      <w:r>
        <w:rPr>
          <w:rFonts w:hint="eastAsia" w:ascii="仿宋" w:hAnsi="仿宋" w:eastAsia="仿宋" w:cs="仿宋"/>
          <w:color w:val="000000"/>
          <w:sz w:val="28"/>
          <w:szCs w:val="28"/>
          <w:u w:val="single"/>
        </w:rPr>
        <w:t>《上市公司监管指引第2号——上市公司募集资金管理和使用的监管要求》</w:t>
      </w:r>
      <w:r>
        <w:rPr>
          <w:rFonts w:hint="eastAsia" w:ascii="仿宋" w:hAnsi="仿宋" w:eastAsia="仿宋" w:cs="仿宋"/>
          <w:color w:val="000000"/>
          <w:sz w:val="28"/>
          <w:szCs w:val="28"/>
        </w:rPr>
        <w:t>（证监会公告〔2012〕44号）第七条，</w:t>
      </w:r>
      <w:r>
        <w:rPr>
          <w:rFonts w:hint="eastAsia" w:ascii="仿宋" w:hAnsi="仿宋" w:eastAsia="仿宋" w:cs="仿宋"/>
          <w:color w:val="000000"/>
          <w:sz w:val="28"/>
          <w:szCs w:val="28"/>
          <w:u w:val="single"/>
        </w:rPr>
        <w:t>《上市公司监管指引第2号——上市公司募集资金管理和使用的监管要求》</w:t>
      </w:r>
      <w:r>
        <w:rPr>
          <w:rFonts w:hint="eastAsia" w:ascii="仿宋" w:hAnsi="仿宋" w:eastAsia="仿宋" w:cs="仿宋"/>
          <w:color w:val="000000"/>
          <w:sz w:val="28"/>
          <w:szCs w:val="28"/>
        </w:rPr>
        <w:t>（证监会公告〔2022〕15号）第八条等相关规定，对上市公司及公司时任董事长兼总经理金某、时任财务总监耿某、时任董秘俞某分别采取出具警示函的监督管理措施。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u w:val="single"/>
        </w:rPr>
      </w:pPr>
      <w:r>
        <w:rPr>
          <w:rFonts w:hint="eastAsia" w:ascii="仿宋" w:hAnsi="仿宋" w:eastAsia="仿宋" w:cs="仿宋"/>
          <w:color w:val="000000"/>
          <w:sz w:val="28"/>
          <w:szCs w:val="28"/>
          <w:u w:val="single"/>
        </w:rPr>
        <w:t>《上市公司监管指引第2号——上市公司募集资金管理和使用的监管要求（2022年修订）》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第八条　暂时闲置的募集资金可进行现金管理，其投资的产品须符合以下条件：</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（一）结构性存款、大额存单等安全性高的保本型产品；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流动性好，不得影响募集资金投资计划正常进行。投资产品不得质押，产品专用结算账户（如适用）不得存放非募集资金或用作其他用途，开立或注销产品专用结算账户的，上市公司应当及时报证券交易所备案并公告。</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使用闲置募集资金投资产品的，应当经上市公司董事会审议通过，独立董事、监事会、保荐机构发表明确同意意见。……</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pStyle w:val="19"/>
        <w:spacing w:line="360" w:lineRule="auto"/>
        <w:ind w:firstLine="0" w:firstLineChars="0"/>
        <w:rPr>
          <w:rFonts w:ascii="仿宋" w:hAnsi="仿宋" w:eastAsia="仿宋" w:cs="仿宋"/>
          <w:b/>
          <w:kern w:val="0"/>
          <w:sz w:val="28"/>
          <w:szCs w:val="28"/>
        </w:rPr>
      </w:pPr>
      <w:r>
        <w:rPr>
          <w:rFonts w:hint="eastAsia" w:ascii="仿宋" w:hAnsi="仿宋" w:eastAsia="仿宋" w:cs="仿宋"/>
          <w:color w:val="000000"/>
          <w:sz w:val="28"/>
          <w:szCs w:val="28"/>
        </w:rPr>
        <w:t>上述违规案例中，上市公司将是募集资金转入一般账户购买活期存款导致账户中募集资金和自有资金混同，没有区分开；此外上市公司使用募集资金购买理财产品未及时履行审议程序，均构成募集资金使用和管理违规。</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abs>
        <w:tab w:val="left" w:pos="810"/>
        <w:tab w:val="clear" w:pos="4153"/>
        <w:tab w:val="clear" w:pos="8306"/>
      </w:tabs>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NmU3ZmFlODc4OTcxZDNkMzc3N2RkYzYxM2ZlZWIifQ=="/>
  </w:docVars>
  <w:rsids>
    <w:rsidRoot w:val="5CA456FA"/>
    <w:rsid w:val="00025DA5"/>
    <w:rsid w:val="00074D92"/>
    <w:rsid w:val="00091ABF"/>
    <w:rsid w:val="000925A6"/>
    <w:rsid w:val="000D2958"/>
    <w:rsid w:val="0011596E"/>
    <w:rsid w:val="001201C0"/>
    <w:rsid w:val="00135E58"/>
    <w:rsid w:val="001733F4"/>
    <w:rsid w:val="001E6B11"/>
    <w:rsid w:val="001F1EDE"/>
    <w:rsid w:val="002071AC"/>
    <w:rsid w:val="002202DE"/>
    <w:rsid w:val="0023716C"/>
    <w:rsid w:val="002836A6"/>
    <w:rsid w:val="002860E7"/>
    <w:rsid w:val="002C52F1"/>
    <w:rsid w:val="002D46AF"/>
    <w:rsid w:val="00300266"/>
    <w:rsid w:val="00352C06"/>
    <w:rsid w:val="00502292"/>
    <w:rsid w:val="00553805"/>
    <w:rsid w:val="00567A23"/>
    <w:rsid w:val="00634DD8"/>
    <w:rsid w:val="00662752"/>
    <w:rsid w:val="006A2010"/>
    <w:rsid w:val="006B4BC7"/>
    <w:rsid w:val="006E4910"/>
    <w:rsid w:val="0077380A"/>
    <w:rsid w:val="007A5E44"/>
    <w:rsid w:val="00832BA2"/>
    <w:rsid w:val="008506FF"/>
    <w:rsid w:val="00905FA6"/>
    <w:rsid w:val="009233CE"/>
    <w:rsid w:val="0093672A"/>
    <w:rsid w:val="00947D35"/>
    <w:rsid w:val="00960B62"/>
    <w:rsid w:val="00967ED2"/>
    <w:rsid w:val="009B4AF1"/>
    <w:rsid w:val="00A0048E"/>
    <w:rsid w:val="00A2065C"/>
    <w:rsid w:val="00A25C9D"/>
    <w:rsid w:val="00A450DC"/>
    <w:rsid w:val="00AB7415"/>
    <w:rsid w:val="00AE2C15"/>
    <w:rsid w:val="00AF5A65"/>
    <w:rsid w:val="00B12211"/>
    <w:rsid w:val="00B150AF"/>
    <w:rsid w:val="00BF15A3"/>
    <w:rsid w:val="00BF36C0"/>
    <w:rsid w:val="00C063F5"/>
    <w:rsid w:val="00C12FE9"/>
    <w:rsid w:val="00C14AC7"/>
    <w:rsid w:val="00C42599"/>
    <w:rsid w:val="00C4787B"/>
    <w:rsid w:val="00C50CF6"/>
    <w:rsid w:val="00D4346F"/>
    <w:rsid w:val="00D803FB"/>
    <w:rsid w:val="00DC7C2E"/>
    <w:rsid w:val="00DD6843"/>
    <w:rsid w:val="00DF64B8"/>
    <w:rsid w:val="00E36D2E"/>
    <w:rsid w:val="00E7735B"/>
    <w:rsid w:val="00E83921"/>
    <w:rsid w:val="00F216F4"/>
    <w:rsid w:val="00F94756"/>
    <w:rsid w:val="00FA2724"/>
    <w:rsid w:val="00FE5E55"/>
    <w:rsid w:val="00FF5D07"/>
    <w:rsid w:val="08324530"/>
    <w:rsid w:val="10A374BE"/>
    <w:rsid w:val="111E6522"/>
    <w:rsid w:val="28437C97"/>
    <w:rsid w:val="2DE34E7D"/>
    <w:rsid w:val="30AC56BF"/>
    <w:rsid w:val="383B2000"/>
    <w:rsid w:val="3C4E4D97"/>
    <w:rsid w:val="410B18CB"/>
    <w:rsid w:val="45062258"/>
    <w:rsid w:val="4ABF3832"/>
    <w:rsid w:val="55BF28E5"/>
    <w:rsid w:val="5CA456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unhideWhenUsed/>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Char"/>
    <w:basedOn w:val="11"/>
    <w:link w:val="3"/>
    <w:qFormat/>
    <w:uiPriority w:val="99"/>
    <w:rPr>
      <w:rFonts w:asciiTheme="minorHAnsi" w:hAnsiTheme="minorHAnsi" w:eastAsiaTheme="minorEastAsia" w:cstheme="minorBidi"/>
      <w:kern w:val="2"/>
      <w:sz w:val="21"/>
      <w:szCs w:val="22"/>
    </w:rPr>
  </w:style>
  <w:style w:type="character" w:customStyle="1" w:styleId="16">
    <w:name w:val="批注框文本 Char"/>
    <w:basedOn w:val="11"/>
    <w:link w:val="4"/>
    <w:qFormat/>
    <w:uiPriority w:val="99"/>
    <w:rPr>
      <w:rFonts w:asciiTheme="minorHAnsi" w:hAnsiTheme="minorHAnsi" w:eastAsiaTheme="minorEastAsia" w:cstheme="minorBidi"/>
      <w:kern w:val="2"/>
      <w:sz w:val="18"/>
      <w:szCs w:val="18"/>
    </w:rPr>
  </w:style>
  <w:style w:type="character" w:customStyle="1" w:styleId="17">
    <w:name w:val="页眉 Char"/>
    <w:basedOn w:val="11"/>
    <w:link w:val="6"/>
    <w:qFormat/>
    <w:uiPriority w:val="99"/>
    <w:rPr>
      <w:rFonts w:ascii="Calibri" w:hAnsi="Calibri"/>
      <w:kern w:val="2"/>
      <w:sz w:val="18"/>
      <w:szCs w:val="24"/>
    </w:rPr>
  </w:style>
  <w:style w:type="character" w:customStyle="1" w:styleId="18">
    <w:name w:val="页脚 Char"/>
    <w:basedOn w:val="11"/>
    <w:link w:val="5"/>
    <w:qFormat/>
    <w:uiPriority w:val="99"/>
    <w:rPr>
      <w:rFonts w:ascii="Calibri" w:hAnsi="Calibri"/>
      <w:kern w:val="2"/>
      <w:sz w:val="18"/>
      <w:szCs w:val="24"/>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Char"/>
    <w:basedOn w:val="15"/>
    <w:link w:val="8"/>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Lbls>
            <c:dLbl>
              <c:idx val="4"/>
              <c:layout>
                <c:manualLayout>
                  <c:x val="0.00843170320404722"/>
                  <c:y val="0.06578947368421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02887581716704"/>
                  <c:y val="0.088450148501174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749063670411985"/>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0998751560549318"/>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55872316129117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材料</c:v>
                </c:pt>
                <c:pt idx="1">
                  <c:v>日常消费</c:v>
                </c:pt>
                <c:pt idx="2">
                  <c:v>工业</c:v>
                </c:pt>
                <c:pt idx="3">
                  <c:v>信息技术</c:v>
                </c:pt>
                <c:pt idx="4">
                  <c:v>医疗保健</c:v>
                </c:pt>
                <c:pt idx="5">
                  <c:v>可选消费</c:v>
                </c:pt>
                <c:pt idx="6">
                  <c:v>金融</c:v>
                </c:pt>
                <c:pt idx="7">
                  <c:v>能源</c:v>
                </c:pt>
                <c:pt idx="8">
                  <c:v>公用事业</c:v>
                </c:pt>
              </c:strCache>
            </c:strRef>
          </c:cat>
          <c:val>
            <c:numRef>
              <c:f>Sheet2!$B$18:$B$26</c:f>
              <c:numCache>
                <c:formatCode>General</c:formatCode>
                <c:ptCount val="9"/>
                <c:pt idx="0">
                  <c:v>3562.2</c:v>
                </c:pt>
                <c:pt idx="1">
                  <c:v>3545.17</c:v>
                </c:pt>
                <c:pt idx="2">
                  <c:v>1938.4</c:v>
                </c:pt>
                <c:pt idx="3">
                  <c:v>1381.87</c:v>
                </c:pt>
                <c:pt idx="4">
                  <c:v>1342.01</c:v>
                </c:pt>
                <c:pt idx="5">
                  <c:v>740.61</c:v>
                </c:pt>
                <c:pt idx="6">
                  <c:v>525.05</c:v>
                </c:pt>
                <c:pt idx="7">
                  <c:v>420.4</c:v>
                </c:pt>
                <c:pt idx="8">
                  <c:v>212.59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rgbClr val="D9D9D9"/>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Sheet3!$B$1</c:f>
              <c:strCache>
                <c:ptCount val="1"/>
                <c:pt idx="0">
                  <c:v>市值（亿元）（2023-11-30）</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Sheet3!$A$2:$A$11</c:f>
              <c:strCache>
                <c:ptCount val="10"/>
                <c:pt idx="0">
                  <c:v>牧原股份</c:v>
                </c:pt>
                <c:pt idx="1">
                  <c:v>洛阳钼业</c:v>
                </c:pt>
                <c:pt idx="2">
                  <c:v>双汇发展</c:v>
                </c:pt>
                <c:pt idx="3">
                  <c:v>中航光电</c:v>
                </c:pt>
                <c:pt idx="4">
                  <c:v>华兰生物</c:v>
                </c:pt>
                <c:pt idx="5">
                  <c:v>龙佰集团</c:v>
                </c:pt>
                <c:pt idx="6">
                  <c:v>神火股份</c:v>
                </c:pt>
                <c:pt idx="7">
                  <c:v>安图生物</c:v>
                </c:pt>
                <c:pt idx="8">
                  <c:v>宇通客车</c:v>
                </c:pt>
                <c:pt idx="9">
                  <c:v>平煤股份</c:v>
                </c:pt>
              </c:strCache>
            </c:strRef>
          </c:cat>
          <c:val>
            <c:numRef>
              <c:f>Sheet3!$B$2:$B$11</c:f>
              <c:numCache>
                <c:formatCode>General</c:formatCode>
                <c:ptCount val="10"/>
                <c:pt idx="0">
                  <c:v>2135.86</c:v>
                </c:pt>
                <c:pt idx="1">
                  <c:v>1125.32</c:v>
                </c:pt>
                <c:pt idx="2">
                  <c:v>904.28</c:v>
                </c:pt>
                <c:pt idx="3">
                  <c:v>841.87</c:v>
                </c:pt>
                <c:pt idx="4">
                  <c:v>442.02</c:v>
                </c:pt>
                <c:pt idx="5">
                  <c:v>411.87</c:v>
                </c:pt>
                <c:pt idx="6">
                  <c:v>354.98</c:v>
                </c:pt>
                <c:pt idx="7">
                  <c:v>301.05</c:v>
                </c:pt>
                <c:pt idx="8">
                  <c:v>298</c:v>
                </c:pt>
                <c:pt idx="9">
                  <c:v>271.65</c:v>
                </c:pt>
              </c:numCache>
            </c:numRef>
          </c:val>
        </c:ser>
        <c:dLbls>
          <c:showLegendKey val="0"/>
          <c:showVal val="1"/>
          <c:showCatName val="0"/>
          <c:showSerName val="0"/>
          <c:showPercent val="0"/>
          <c:showBubbleSize val="0"/>
        </c:dLbls>
        <c:gapWidth val="75"/>
        <c:axId val="838999616"/>
        <c:axId val="839003424"/>
      </c:barChart>
      <c:catAx>
        <c:axId val="838999616"/>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9003424"/>
        <c:crosses val="autoZero"/>
        <c:auto val="1"/>
        <c:lblAlgn val="ctr"/>
        <c:lblOffset val="100"/>
        <c:noMultiLvlLbl val="0"/>
      </c:catAx>
      <c:valAx>
        <c:axId val="839003424"/>
        <c:scaling>
          <c:orientation val="minMax"/>
          <c:max val="2300"/>
        </c:scaling>
        <c:delete val="0"/>
        <c:axPos val="l"/>
        <c:majorGridlines>
          <c:spPr>
            <a:ln w="9525" cap="flat" cmpd="sng" algn="ctr">
              <a:noFill/>
              <a:prstDash val="solid"/>
              <a:round/>
            </a:ln>
          </c:spPr>
        </c:majorGridlines>
        <c:numFmt formatCode="#,##0.00_);[Red]\(#,##0.00\)"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8999616"/>
        <c:crosses val="autoZero"/>
        <c:crossBetween val="between"/>
        <c:majorUnit val="575"/>
      </c:valAx>
      <c:spPr>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月成交额（亿元）</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Sheet1!$A$2:$A$11</c:f>
              <c:strCache>
                <c:ptCount val="10"/>
                <c:pt idx="0">
                  <c:v>莲花健康</c:v>
                </c:pt>
                <c:pt idx="1">
                  <c:v>牧原股份</c:v>
                </c:pt>
                <c:pt idx="2">
                  <c:v>远东传动</c:v>
                </c:pt>
                <c:pt idx="3">
                  <c:v>飞龙股份</c:v>
                </c:pt>
                <c:pt idx="4">
                  <c:v>太龙药业</c:v>
                </c:pt>
                <c:pt idx="5">
                  <c:v>洛阳钼业</c:v>
                </c:pt>
                <c:pt idx="6">
                  <c:v>光力科技</c:v>
                </c:pt>
                <c:pt idx="7">
                  <c:v>神火股份</c:v>
                </c:pt>
                <c:pt idx="8">
                  <c:v>汉威科技</c:v>
                </c:pt>
                <c:pt idx="9">
                  <c:v>平煤股份</c:v>
                </c:pt>
              </c:strCache>
            </c:strRef>
          </c:cat>
          <c:val>
            <c:numRef>
              <c:f>Sheet1!$B$2:$B$11</c:f>
              <c:numCache>
                <c:formatCode>###,###,###,##0.0000</c:formatCode>
                <c:ptCount val="10"/>
                <c:pt idx="0">
                  <c:v>224.74</c:v>
                </c:pt>
                <c:pt idx="1">
                  <c:v>164.11</c:v>
                </c:pt>
                <c:pt idx="2">
                  <c:v>161.99</c:v>
                </c:pt>
                <c:pt idx="3">
                  <c:v>153.56</c:v>
                </c:pt>
                <c:pt idx="4">
                  <c:v>119.47</c:v>
                </c:pt>
                <c:pt idx="5">
                  <c:v>96.58</c:v>
                </c:pt>
                <c:pt idx="6">
                  <c:v>94.06</c:v>
                </c:pt>
                <c:pt idx="7">
                  <c:v>80.89</c:v>
                </c:pt>
                <c:pt idx="8">
                  <c:v>78.42</c:v>
                </c:pt>
                <c:pt idx="9">
                  <c:v>74.85</c:v>
                </c:pt>
              </c:numCache>
            </c:numRef>
          </c:val>
        </c:ser>
        <c:dLbls>
          <c:showLegendKey val="0"/>
          <c:showVal val="1"/>
          <c:showCatName val="0"/>
          <c:showSerName val="0"/>
          <c:showPercent val="0"/>
          <c:showBubbleSize val="0"/>
        </c:dLbls>
        <c:gapWidth val="75"/>
        <c:axId val="838992000"/>
        <c:axId val="838997440"/>
      </c:barChart>
      <c:catAx>
        <c:axId val="83899200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8997440"/>
        <c:crosses val="autoZero"/>
        <c:auto val="1"/>
        <c:lblAlgn val="ctr"/>
        <c:lblOffset val="100"/>
        <c:noMultiLvlLbl val="0"/>
      </c:catAx>
      <c:valAx>
        <c:axId val="838997440"/>
        <c:scaling>
          <c:orientation val="minMax"/>
          <c:max val="300"/>
        </c:scaling>
        <c:delete val="0"/>
        <c:axPos val="l"/>
        <c:numFmt formatCode="#,##0.00_);[Red]\(#,##0.00\)"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38992000"/>
        <c:crosses val="autoZero"/>
        <c:crossBetween val="between"/>
        <c:majorUnit val="75"/>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20</Pages>
  <Words>1941</Words>
  <Characters>11070</Characters>
  <Lines>92</Lines>
  <Paragraphs>25</Paragraphs>
  <TotalTime>2</TotalTime>
  <ScaleCrop>false</ScaleCrop>
  <LinksUpToDate>false</LinksUpToDate>
  <CharactersWithSpaces>12986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2019-03-11T01:10:00Z</dcterms:created>
  <dc:creator>Annie</dc:creator>
  <cp:lastModifiedBy>北乔峰</cp:lastModifiedBy>
  <cp:lastPrinted>2019-03-05T08:32:00Z</cp:lastPrinted>
  <dcterms:modified xsi:type="dcterms:W3CDTF">2023-12-11T03:09:52Z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38B4031DE2B547A19B81D8A013D74AE6_13</vt:lpwstr>
  </property>
</Properties>
</file>